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30A820" w14:textId="77777777" w:rsidR="00345640" w:rsidRPr="00A60298" w:rsidRDefault="00345640" w:rsidP="00345640">
      <w:pPr>
        <w:spacing w:line="480" w:lineRule="auto"/>
        <w:rPr>
          <w:b/>
          <w:sz w:val="24"/>
          <w:szCs w:val="24"/>
          <w:lang w:val="en-GB"/>
        </w:rPr>
      </w:pPr>
      <w:r w:rsidRPr="00A60298">
        <w:rPr>
          <w:b/>
          <w:sz w:val="24"/>
          <w:szCs w:val="24"/>
          <w:lang w:val="en-GB"/>
        </w:rPr>
        <w:t>TITLE PAGE</w:t>
      </w:r>
    </w:p>
    <w:p w14:paraId="575EFBF7" w14:textId="4FAA25EA" w:rsidR="00A23582" w:rsidRDefault="00672B69" w:rsidP="00754F3C">
      <w:pPr>
        <w:rPr>
          <w:rFonts w:cstheme="minorHAnsi"/>
          <w:sz w:val="24"/>
          <w:szCs w:val="24"/>
          <w:lang w:val="en-GB"/>
        </w:rPr>
      </w:pPr>
      <w:r w:rsidRPr="00CE66BE">
        <w:rPr>
          <w:rStyle w:val="Enfasigrassetto"/>
          <w:rFonts w:cstheme="minorHAnsi"/>
          <w:sz w:val="24"/>
          <w:szCs w:val="24"/>
          <w:lang w:val="en-GB"/>
        </w:rPr>
        <w:t xml:space="preserve">Title: </w:t>
      </w:r>
      <w:bookmarkStart w:id="0" w:name="_GoBack"/>
      <w:r w:rsidR="00A23582" w:rsidRPr="00CE66BE">
        <w:rPr>
          <w:rFonts w:cstheme="minorHAnsi"/>
          <w:sz w:val="24"/>
          <w:szCs w:val="24"/>
          <w:lang w:val="en-GB"/>
        </w:rPr>
        <w:t xml:space="preserve">Temporal and geographical variations </w:t>
      </w:r>
      <w:r w:rsidR="00451FB5" w:rsidRPr="00CE66BE">
        <w:rPr>
          <w:rFonts w:cstheme="minorHAnsi"/>
          <w:sz w:val="24"/>
          <w:szCs w:val="24"/>
          <w:lang w:val="en-GB"/>
        </w:rPr>
        <w:t xml:space="preserve">in </w:t>
      </w:r>
      <w:r w:rsidR="00A23582" w:rsidRPr="00CE66BE">
        <w:rPr>
          <w:rFonts w:cstheme="minorHAnsi"/>
          <w:sz w:val="24"/>
          <w:szCs w:val="24"/>
          <w:lang w:val="en-GB"/>
        </w:rPr>
        <w:t>survival of children born with congenital anomalies in Europe</w:t>
      </w:r>
      <w:r w:rsidR="005724AB" w:rsidRPr="00CE66BE">
        <w:rPr>
          <w:rFonts w:cstheme="minorHAnsi"/>
          <w:sz w:val="24"/>
          <w:szCs w:val="24"/>
          <w:lang w:val="en-GB"/>
        </w:rPr>
        <w:t xml:space="preserve">: a </w:t>
      </w:r>
      <w:r w:rsidR="001E17EC">
        <w:rPr>
          <w:rFonts w:cstheme="minorHAnsi"/>
          <w:sz w:val="24"/>
          <w:szCs w:val="24"/>
          <w:lang w:val="en-GB"/>
        </w:rPr>
        <w:t>multi-registry cohort study</w:t>
      </w:r>
      <w:r w:rsidR="007C6B65">
        <w:rPr>
          <w:rFonts w:cstheme="minorHAnsi"/>
          <w:sz w:val="24"/>
          <w:szCs w:val="24"/>
          <w:lang w:val="en-GB"/>
        </w:rPr>
        <w:t xml:space="preserve"> </w:t>
      </w:r>
    </w:p>
    <w:bookmarkEnd w:id="0"/>
    <w:p w14:paraId="6D8B5318" w14:textId="77777777" w:rsidR="00851CDC" w:rsidRPr="00CE66BE" w:rsidRDefault="00851CDC" w:rsidP="00754F3C">
      <w:pPr>
        <w:rPr>
          <w:rFonts w:cstheme="minorHAnsi"/>
          <w:sz w:val="24"/>
          <w:szCs w:val="24"/>
          <w:lang w:val="en-GB"/>
        </w:rPr>
      </w:pPr>
    </w:p>
    <w:p w14:paraId="2975D7B0" w14:textId="2D394696" w:rsidR="00221344" w:rsidRPr="001925A3" w:rsidRDefault="00CE66BE" w:rsidP="00221344">
      <w:pPr>
        <w:rPr>
          <w:lang w:val="en-GB"/>
        </w:rPr>
      </w:pPr>
      <w:r w:rsidRPr="00CE66BE">
        <w:rPr>
          <w:rFonts w:cstheme="minorHAnsi"/>
          <w:b/>
          <w:sz w:val="24"/>
          <w:szCs w:val="24"/>
          <w:lang w:val="en-GB"/>
        </w:rPr>
        <w:t>Running title</w:t>
      </w:r>
      <w:r w:rsidRPr="00F30863">
        <w:rPr>
          <w:rFonts w:cstheme="minorHAnsi"/>
          <w:sz w:val="24"/>
          <w:szCs w:val="24"/>
          <w:lang w:val="en-GB"/>
        </w:rPr>
        <w:t>:</w:t>
      </w:r>
      <w:r w:rsidRPr="00CE66BE">
        <w:rPr>
          <w:rFonts w:cstheme="minorHAnsi"/>
          <w:b/>
          <w:sz w:val="24"/>
          <w:szCs w:val="24"/>
          <w:lang w:val="en-GB"/>
        </w:rPr>
        <w:t xml:space="preserve"> </w:t>
      </w:r>
      <w:r w:rsidR="00221344" w:rsidRPr="001925A3">
        <w:rPr>
          <w:rFonts w:cstheme="minorHAnsi"/>
          <w:sz w:val="24"/>
          <w:szCs w:val="24"/>
          <w:lang w:val="en-GB"/>
        </w:rPr>
        <w:t xml:space="preserve">Children’s survival with </w:t>
      </w:r>
      <w:r w:rsidR="00221344">
        <w:rPr>
          <w:rFonts w:cstheme="minorHAnsi"/>
          <w:sz w:val="24"/>
          <w:szCs w:val="24"/>
          <w:lang w:val="en-GB"/>
        </w:rPr>
        <w:t xml:space="preserve">CAs </w:t>
      </w:r>
    </w:p>
    <w:p w14:paraId="11C1F069" w14:textId="7ABA6722" w:rsidR="00FE521F" w:rsidRPr="00CE66BE" w:rsidRDefault="00FE521F" w:rsidP="00754F3C">
      <w:pPr>
        <w:spacing w:after="0" w:line="360" w:lineRule="auto"/>
        <w:rPr>
          <w:rFonts w:cstheme="minorHAnsi"/>
          <w:b/>
          <w:sz w:val="24"/>
          <w:szCs w:val="24"/>
          <w:lang w:val="en-GB"/>
        </w:rPr>
      </w:pPr>
    </w:p>
    <w:p w14:paraId="5175F485" w14:textId="77777777" w:rsidR="00672B69" w:rsidRPr="00CE66BE" w:rsidRDefault="00672B69" w:rsidP="00754F3C">
      <w:pPr>
        <w:rPr>
          <w:rStyle w:val="Enfasigrassetto"/>
          <w:rFonts w:cstheme="minorHAnsi"/>
          <w:sz w:val="24"/>
          <w:szCs w:val="24"/>
          <w:lang w:val="en-GB"/>
        </w:rPr>
      </w:pPr>
      <w:r w:rsidRPr="00CE66BE">
        <w:rPr>
          <w:rStyle w:val="Enfasigrassetto"/>
          <w:rFonts w:cstheme="minorHAnsi"/>
          <w:sz w:val="24"/>
          <w:szCs w:val="24"/>
          <w:lang w:val="en-GB"/>
        </w:rPr>
        <w:t>Author information</w:t>
      </w:r>
    </w:p>
    <w:p w14:paraId="6EFB9944" w14:textId="55BC0868" w:rsidR="00B04F34" w:rsidRPr="00CE66BE" w:rsidRDefault="00E44D39" w:rsidP="00754F3C">
      <w:pPr>
        <w:pStyle w:val="Titolo"/>
        <w:spacing w:before="0" w:line="360" w:lineRule="auto"/>
        <w:jc w:val="left"/>
        <w:rPr>
          <w:rFonts w:asciiTheme="minorHAnsi" w:hAnsiTheme="minorHAnsi" w:cstheme="minorHAnsi"/>
          <w:b w:val="0"/>
          <w:sz w:val="24"/>
          <w:szCs w:val="24"/>
          <w:vertAlign w:val="superscript"/>
        </w:rPr>
      </w:pPr>
      <w:r w:rsidRPr="00CE66BE">
        <w:rPr>
          <w:rFonts w:asciiTheme="minorHAnsi" w:hAnsiTheme="minorHAnsi" w:cstheme="minorHAnsi"/>
          <w:b w:val="0"/>
          <w:bCs w:val="0"/>
          <w:sz w:val="24"/>
          <w:szCs w:val="24"/>
        </w:rPr>
        <w:t>Michele Santoro</w:t>
      </w:r>
      <w:r w:rsidR="00657D56" w:rsidRPr="00CE66BE">
        <w:rPr>
          <w:rFonts w:asciiTheme="minorHAnsi" w:hAnsiTheme="minorHAnsi" w:cstheme="minorHAnsi"/>
          <w:b w:val="0"/>
          <w:bCs w:val="0"/>
          <w:sz w:val="24"/>
          <w:szCs w:val="24"/>
          <w:vertAlign w:val="superscript"/>
        </w:rPr>
        <w:t>1</w:t>
      </w:r>
      <w:r w:rsidRPr="00CE66BE">
        <w:rPr>
          <w:rFonts w:asciiTheme="minorHAnsi" w:hAnsiTheme="minorHAnsi" w:cstheme="minorHAnsi"/>
          <w:b w:val="0"/>
          <w:bCs w:val="0"/>
          <w:sz w:val="24"/>
          <w:szCs w:val="24"/>
        </w:rPr>
        <w:t xml:space="preserve">, </w:t>
      </w:r>
      <w:r w:rsidR="00A65BF5" w:rsidRPr="00CE66BE">
        <w:rPr>
          <w:rFonts w:asciiTheme="minorHAnsi" w:hAnsiTheme="minorHAnsi" w:cstheme="minorHAnsi"/>
          <w:b w:val="0"/>
          <w:bCs w:val="0"/>
          <w:sz w:val="24"/>
          <w:szCs w:val="24"/>
        </w:rPr>
        <w:t>Alessio Coi</w:t>
      </w:r>
      <w:r w:rsidR="00657D56" w:rsidRPr="00CE66BE">
        <w:rPr>
          <w:rFonts w:asciiTheme="minorHAnsi" w:hAnsiTheme="minorHAnsi" w:cstheme="minorHAnsi"/>
          <w:b w:val="0"/>
          <w:bCs w:val="0"/>
          <w:sz w:val="24"/>
          <w:szCs w:val="24"/>
          <w:vertAlign w:val="superscript"/>
        </w:rPr>
        <w:t>1</w:t>
      </w:r>
      <w:r w:rsidR="00A65BF5" w:rsidRPr="00CE66BE">
        <w:rPr>
          <w:rFonts w:asciiTheme="minorHAnsi" w:hAnsiTheme="minorHAnsi" w:cstheme="minorHAnsi"/>
          <w:b w:val="0"/>
          <w:bCs w:val="0"/>
          <w:sz w:val="24"/>
          <w:szCs w:val="24"/>
        </w:rPr>
        <w:t xml:space="preserve">, </w:t>
      </w:r>
      <w:r w:rsidR="006F5DDF" w:rsidRPr="00CE66BE">
        <w:rPr>
          <w:rFonts w:asciiTheme="minorHAnsi" w:hAnsiTheme="minorHAnsi" w:cstheme="minorHAnsi"/>
          <w:b w:val="0"/>
          <w:bCs w:val="0"/>
          <w:sz w:val="24"/>
          <w:szCs w:val="24"/>
        </w:rPr>
        <w:t>Anna Pierini</w:t>
      </w:r>
      <w:r w:rsidR="00657D56" w:rsidRPr="00CE66BE">
        <w:rPr>
          <w:rFonts w:asciiTheme="minorHAnsi" w:hAnsiTheme="minorHAnsi" w:cstheme="minorHAnsi"/>
          <w:b w:val="0"/>
          <w:bCs w:val="0"/>
          <w:sz w:val="24"/>
          <w:szCs w:val="24"/>
          <w:vertAlign w:val="superscript"/>
        </w:rPr>
        <w:t>1,2</w:t>
      </w:r>
      <w:r w:rsidR="006F5DDF" w:rsidRPr="00CE66BE">
        <w:rPr>
          <w:rFonts w:asciiTheme="minorHAnsi" w:hAnsiTheme="minorHAnsi" w:cstheme="minorHAnsi"/>
          <w:b w:val="0"/>
          <w:bCs w:val="0"/>
          <w:sz w:val="24"/>
          <w:szCs w:val="24"/>
        </w:rPr>
        <w:t xml:space="preserve">, </w:t>
      </w:r>
      <w:r w:rsidR="00A65BF5" w:rsidRPr="00CE66BE">
        <w:rPr>
          <w:rFonts w:asciiTheme="minorHAnsi" w:hAnsiTheme="minorHAnsi" w:cstheme="minorHAnsi"/>
          <w:b w:val="0"/>
          <w:bCs w:val="0"/>
          <w:sz w:val="24"/>
          <w:szCs w:val="24"/>
        </w:rPr>
        <w:t>Judith Rankin</w:t>
      </w:r>
      <w:r w:rsidR="00657D56" w:rsidRPr="00CE66BE">
        <w:rPr>
          <w:rFonts w:asciiTheme="minorHAnsi" w:hAnsiTheme="minorHAnsi" w:cstheme="minorHAnsi"/>
          <w:b w:val="0"/>
          <w:bCs w:val="0"/>
          <w:sz w:val="24"/>
          <w:szCs w:val="24"/>
          <w:vertAlign w:val="superscript"/>
        </w:rPr>
        <w:t>3</w:t>
      </w:r>
      <w:r w:rsidR="00A65BF5" w:rsidRPr="00CE66BE">
        <w:rPr>
          <w:rFonts w:asciiTheme="minorHAnsi" w:hAnsiTheme="minorHAnsi" w:cstheme="minorHAnsi"/>
          <w:b w:val="0"/>
          <w:bCs w:val="0"/>
          <w:sz w:val="24"/>
          <w:szCs w:val="24"/>
        </w:rPr>
        <w:t>, Svetl</w:t>
      </w:r>
      <w:r w:rsidRPr="00CE66BE">
        <w:rPr>
          <w:rFonts w:asciiTheme="minorHAnsi" w:hAnsiTheme="minorHAnsi" w:cstheme="minorHAnsi"/>
          <w:b w:val="0"/>
          <w:bCs w:val="0"/>
          <w:sz w:val="24"/>
          <w:szCs w:val="24"/>
        </w:rPr>
        <w:t>ana V Glinianaia</w:t>
      </w:r>
      <w:r w:rsidR="00657D56" w:rsidRPr="00CE66BE">
        <w:rPr>
          <w:rFonts w:asciiTheme="minorHAnsi" w:hAnsiTheme="minorHAnsi" w:cstheme="minorHAnsi"/>
          <w:b w:val="0"/>
          <w:bCs w:val="0"/>
          <w:sz w:val="24"/>
          <w:szCs w:val="24"/>
          <w:vertAlign w:val="superscript"/>
        </w:rPr>
        <w:t>3</w:t>
      </w:r>
      <w:r w:rsidRPr="00CE66BE">
        <w:rPr>
          <w:rFonts w:asciiTheme="minorHAnsi" w:hAnsiTheme="minorHAnsi" w:cstheme="minorHAnsi"/>
          <w:b w:val="0"/>
          <w:bCs w:val="0"/>
          <w:sz w:val="24"/>
          <w:szCs w:val="24"/>
        </w:rPr>
        <w:t xml:space="preserve">, </w:t>
      </w:r>
      <w:r w:rsidR="00E66A76" w:rsidRPr="00CE66BE">
        <w:rPr>
          <w:rFonts w:asciiTheme="minorHAnsi" w:hAnsiTheme="minorHAnsi" w:cstheme="minorHAnsi"/>
          <w:b w:val="0"/>
          <w:bCs w:val="0"/>
          <w:sz w:val="24"/>
          <w:szCs w:val="24"/>
        </w:rPr>
        <w:t>Joachim Tan</w:t>
      </w:r>
      <w:r w:rsidR="00E66A76" w:rsidRPr="00CE66BE">
        <w:rPr>
          <w:rFonts w:asciiTheme="minorHAnsi" w:hAnsiTheme="minorHAnsi" w:cstheme="minorHAnsi"/>
          <w:b w:val="0"/>
          <w:bCs w:val="0"/>
          <w:sz w:val="24"/>
          <w:szCs w:val="24"/>
          <w:vertAlign w:val="superscript"/>
        </w:rPr>
        <w:t>4</w:t>
      </w:r>
      <w:r w:rsidR="00E66A76" w:rsidRPr="00CE66BE">
        <w:rPr>
          <w:rFonts w:asciiTheme="minorHAnsi" w:hAnsiTheme="minorHAnsi" w:cstheme="minorHAnsi"/>
          <w:b w:val="0"/>
          <w:bCs w:val="0"/>
          <w:sz w:val="24"/>
          <w:szCs w:val="24"/>
        </w:rPr>
        <w:t>, Abigail Reid</w:t>
      </w:r>
      <w:r w:rsidR="00954000" w:rsidRPr="00CE66BE">
        <w:rPr>
          <w:rFonts w:asciiTheme="minorHAnsi" w:hAnsiTheme="minorHAnsi" w:cstheme="minorHAnsi"/>
          <w:b w:val="0"/>
          <w:bCs w:val="0"/>
          <w:sz w:val="24"/>
          <w:szCs w:val="24"/>
          <w:vertAlign w:val="superscript"/>
        </w:rPr>
        <w:t>4</w:t>
      </w:r>
      <w:r w:rsidR="00954000" w:rsidRPr="00CE66BE">
        <w:rPr>
          <w:rFonts w:asciiTheme="minorHAnsi" w:hAnsiTheme="minorHAnsi" w:cstheme="minorHAnsi"/>
          <w:b w:val="0"/>
          <w:bCs w:val="0"/>
          <w:sz w:val="24"/>
          <w:szCs w:val="24"/>
          <w:vertAlign w:val="subscript"/>
        </w:rPr>
        <w:t xml:space="preserve">, </w:t>
      </w:r>
      <w:r w:rsidRPr="00CE66BE">
        <w:rPr>
          <w:rFonts w:asciiTheme="minorHAnsi" w:hAnsiTheme="minorHAnsi" w:cstheme="minorHAnsi"/>
          <w:b w:val="0"/>
          <w:bCs w:val="0"/>
          <w:sz w:val="24"/>
          <w:szCs w:val="24"/>
        </w:rPr>
        <w:t>Ester Garne</w:t>
      </w:r>
      <w:r w:rsidR="00E66A76" w:rsidRPr="00CE66BE">
        <w:rPr>
          <w:rFonts w:asciiTheme="minorHAnsi" w:hAnsiTheme="minorHAnsi" w:cstheme="minorHAnsi"/>
          <w:b w:val="0"/>
          <w:bCs w:val="0"/>
          <w:sz w:val="24"/>
          <w:szCs w:val="24"/>
          <w:vertAlign w:val="superscript"/>
        </w:rPr>
        <w:t>5</w:t>
      </w:r>
      <w:r w:rsidRPr="00CE66BE">
        <w:rPr>
          <w:rFonts w:asciiTheme="minorHAnsi" w:hAnsiTheme="minorHAnsi" w:cstheme="minorHAnsi"/>
          <w:b w:val="0"/>
          <w:bCs w:val="0"/>
          <w:sz w:val="24"/>
          <w:szCs w:val="24"/>
        </w:rPr>
        <w:t xml:space="preserve">, </w:t>
      </w:r>
      <w:r w:rsidR="00A65BF5" w:rsidRPr="00CE66BE">
        <w:rPr>
          <w:rFonts w:asciiTheme="minorHAnsi" w:hAnsiTheme="minorHAnsi" w:cstheme="minorHAnsi"/>
          <w:b w:val="0"/>
          <w:bCs w:val="0"/>
          <w:sz w:val="24"/>
          <w:szCs w:val="24"/>
        </w:rPr>
        <w:t>Maria Loane</w:t>
      </w:r>
      <w:r w:rsidR="00E66A76" w:rsidRPr="00CE66BE">
        <w:rPr>
          <w:rFonts w:asciiTheme="minorHAnsi" w:hAnsiTheme="minorHAnsi" w:cstheme="minorHAnsi"/>
          <w:b w:val="0"/>
          <w:bCs w:val="0"/>
          <w:sz w:val="24"/>
          <w:szCs w:val="24"/>
          <w:vertAlign w:val="superscript"/>
        </w:rPr>
        <w:t>6</w:t>
      </w:r>
      <w:r w:rsidR="00A65BF5" w:rsidRPr="00CE66BE">
        <w:rPr>
          <w:rFonts w:asciiTheme="minorHAnsi" w:hAnsiTheme="minorHAnsi" w:cstheme="minorHAnsi"/>
          <w:b w:val="0"/>
          <w:bCs w:val="0"/>
          <w:sz w:val="24"/>
          <w:szCs w:val="24"/>
        </w:rPr>
        <w:t>, Joanne Given</w:t>
      </w:r>
      <w:r w:rsidR="00E66A76" w:rsidRPr="00CE66BE">
        <w:rPr>
          <w:rFonts w:asciiTheme="minorHAnsi" w:hAnsiTheme="minorHAnsi" w:cstheme="minorHAnsi"/>
          <w:b w:val="0"/>
          <w:bCs w:val="0"/>
          <w:sz w:val="24"/>
          <w:szCs w:val="24"/>
          <w:vertAlign w:val="superscript"/>
        </w:rPr>
        <w:t>6</w:t>
      </w:r>
      <w:r w:rsidR="00A65BF5" w:rsidRPr="00CE66BE">
        <w:rPr>
          <w:rFonts w:asciiTheme="minorHAnsi" w:hAnsiTheme="minorHAnsi" w:cstheme="minorHAnsi"/>
          <w:b w:val="0"/>
          <w:bCs w:val="0"/>
          <w:sz w:val="24"/>
          <w:szCs w:val="24"/>
        </w:rPr>
        <w:t xml:space="preserve">, </w:t>
      </w:r>
      <w:r w:rsidR="00F15799" w:rsidRPr="00CE66BE">
        <w:rPr>
          <w:rFonts w:asciiTheme="minorHAnsi" w:hAnsiTheme="minorHAnsi" w:cstheme="minorHAnsi"/>
          <w:b w:val="0"/>
          <w:sz w:val="24"/>
          <w:szCs w:val="24"/>
        </w:rPr>
        <w:t>Amaia Aizpurua</w:t>
      </w:r>
      <w:r w:rsidR="00F15799" w:rsidRPr="00CE66BE">
        <w:rPr>
          <w:rFonts w:asciiTheme="minorHAnsi" w:hAnsiTheme="minorHAnsi" w:cstheme="minorHAnsi"/>
          <w:b w:val="0"/>
          <w:sz w:val="24"/>
          <w:szCs w:val="24"/>
          <w:vertAlign w:val="superscript"/>
        </w:rPr>
        <w:t>7</w:t>
      </w:r>
      <w:r w:rsidR="00F15799" w:rsidRPr="00CE66BE">
        <w:rPr>
          <w:rFonts w:asciiTheme="minorHAnsi" w:hAnsiTheme="minorHAnsi" w:cstheme="minorHAnsi"/>
          <w:b w:val="0"/>
          <w:sz w:val="24"/>
          <w:szCs w:val="24"/>
        </w:rPr>
        <w:t xml:space="preserve">, </w:t>
      </w:r>
      <w:r w:rsidR="003A398B" w:rsidRPr="00CE66BE">
        <w:rPr>
          <w:rFonts w:asciiTheme="minorHAnsi" w:hAnsiTheme="minorHAnsi" w:cstheme="minorHAnsi"/>
          <w:b w:val="0"/>
          <w:sz w:val="24"/>
          <w:szCs w:val="24"/>
        </w:rPr>
        <w:t>Gianni Astolfi</w:t>
      </w:r>
      <w:r w:rsidR="003A398B" w:rsidRPr="00CE66BE">
        <w:rPr>
          <w:rFonts w:asciiTheme="minorHAnsi" w:hAnsiTheme="minorHAnsi" w:cstheme="minorHAnsi"/>
          <w:b w:val="0"/>
          <w:sz w:val="24"/>
          <w:szCs w:val="24"/>
          <w:vertAlign w:val="superscript"/>
        </w:rPr>
        <w:t>8</w:t>
      </w:r>
      <w:r w:rsidR="00F15799" w:rsidRPr="00CE66BE">
        <w:rPr>
          <w:rFonts w:asciiTheme="minorHAnsi" w:eastAsia="Times New Roman" w:hAnsiTheme="minorHAnsi" w:cstheme="minorHAnsi"/>
          <w:b w:val="0"/>
          <w:sz w:val="24"/>
          <w:szCs w:val="24"/>
        </w:rPr>
        <w:t xml:space="preserve">, </w:t>
      </w:r>
      <w:r w:rsidR="00F15799" w:rsidRPr="00CE66BE">
        <w:rPr>
          <w:rFonts w:asciiTheme="minorHAnsi" w:hAnsiTheme="minorHAnsi" w:cstheme="minorHAnsi"/>
          <w:b w:val="0"/>
          <w:sz w:val="24"/>
          <w:szCs w:val="24"/>
        </w:rPr>
        <w:t>Ingeborg Barisic</w:t>
      </w:r>
      <w:r w:rsidR="00F15799" w:rsidRPr="00CE66BE">
        <w:rPr>
          <w:rFonts w:asciiTheme="minorHAnsi" w:hAnsiTheme="minorHAnsi" w:cstheme="minorHAnsi"/>
          <w:b w:val="0"/>
          <w:sz w:val="24"/>
          <w:szCs w:val="24"/>
          <w:vertAlign w:val="superscript"/>
        </w:rPr>
        <w:t>9</w:t>
      </w:r>
      <w:r w:rsidR="00B9140B" w:rsidRPr="00CE66BE">
        <w:rPr>
          <w:rFonts w:asciiTheme="minorHAnsi" w:hAnsiTheme="minorHAnsi" w:cstheme="minorHAnsi"/>
          <w:b w:val="0"/>
          <w:sz w:val="24"/>
          <w:szCs w:val="24"/>
        </w:rPr>
        <w:t>, Clara Cavero-Carbonell</w:t>
      </w:r>
      <w:r w:rsidR="00B9140B" w:rsidRPr="00CE66BE">
        <w:rPr>
          <w:rFonts w:asciiTheme="minorHAnsi" w:hAnsiTheme="minorHAnsi" w:cstheme="minorHAnsi"/>
          <w:b w:val="0"/>
          <w:sz w:val="24"/>
          <w:szCs w:val="24"/>
          <w:vertAlign w:val="superscript"/>
        </w:rPr>
        <w:t>10</w:t>
      </w:r>
      <w:r w:rsidR="00EA3756" w:rsidRPr="00CE66BE">
        <w:rPr>
          <w:rFonts w:asciiTheme="minorHAnsi" w:hAnsiTheme="minorHAnsi" w:cstheme="minorHAnsi"/>
          <w:b w:val="0"/>
          <w:sz w:val="24"/>
          <w:szCs w:val="24"/>
        </w:rPr>
        <w:t>, Hermien E.K. de Walle</w:t>
      </w:r>
      <w:r w:rsidR="00EA3756" w:rsidRPr="00CE66BE">
        <w:rPr>
          <w:rFonts w:asciiTheme="minorHAnsi" w:hAnsiTheme="minorHAnsi" w:cstheme="minorHAnsi"/>
          <w:b w:val="0"/>
          <w:sz w:val="24"/>
          <w:szCs w:val="24"/>
          <w:vertAlign w:val="superscript"/>
        </w:rPr>
        <w:t>11</w:t>
      </w:r>
      <w:r w:rsidR="00E46C72" w:rsidRPr="00CE66BE">
        <w:rPr>
          <w:rFonts w:asciiTheme="minorHAnsi" w:hAnsiTheme="minorHAnsi" w:cstheme="minorHAnsi"/>
          <w:b w:val="0"/>
          <w:sz w:val="24"/>
          <w:szCs w:val="24"/>
        </w:rPr>
        <w:t>,</w:t>
      </w:r>
      <w:r w:rsidR="00E46C72" w:rsidRPr="00CE66BE">
        <w:rPr>
          <w:rFonts w:asciiTheme="minorHAnsi" w:hAnsiTheme="minorHAnsi" w:cstheme="minorHAnsi"/>
          <w:b w:val="0"/>
          <w:sz w:val="24"/>
          <w:szCs w:val="24"/>
          <w:vertAlign w:val="superscript"/>
        </w:rPr>
        <w:t xml:space="preserve"> </w:t>
      </w:r>
      <w:r w:rsidR="00E46C72" w:rsidRPr="00CE66BE">
        <w:rPr>
          <w:rFonts w:asciiTheme="minorHAnsi" w:hAnsiTheme="minorHAnsi" w:cstheme="minorHAnsi"/>
          <w:b w:val="0"/>
          <w:sz w:val="24"/>
          <w:szCs w:val="24"/>
        </w:rPr>
        <w:t xml:space="preserve"> </w:t>
      </w:r>
      <w:r w:rsidR="00EA3756" w:rsidRPr="00CE66BE">
        <w:rPr>
          <w:rFonts w:asciiTheme="minorHAnsi" w:hAnsiTheme="minorHAnsi" w:cstheme="minorHAnsi"/>
          <w:b w:val="0"/>
          <w:sz w:val="24"/>
          <w:szCs w:val="24"/>
        </w:rPr>
        <w:t>Elly Den Hond</w:t>
      </w:r>
      <w:r w:rsidR="00EA3756" w:rsidRPr="00CE66BE">
        <w:rPr>
          <w:rFonts w:asciiTheme="minorHAnsi" w:hAnsiTheme="minorHAnsi" w:cstheme="minorHAnsi"/>
          <w:b w:val="0"/>
          <w:sz w:val="24"/>
          <w:szCs w:val="24"/>
          <w:vertAlign w:val="superscript"/>
        </w:rPr>
        <w:t>12</w:t>
      </w:r>
      <w:r w:rsidR="00EA3756" w:rsidRPr="00CE66BE">
        <w:rPr>
          <w:rFonts w:asciiTheme="minorHAnsi" w:hAnsiTheme="minorHAnsi" w:cstheme="minorHAnsi"/>
          <w:b w:val="0"/>
          <w:sz w:val="24"/>
          <w:szCs w:val="24"/>
        </w:rPr>
        <w:t>, Laura García-Villodre</w:t>
      </w:r>
      <w:r w:rsidR="00EA3756" w:rsidRPr="00CE66BE">
        <w:rPr>
          <w:rFonts w:asciiTheme="minorHAnsi" w:hAnsiTheme="minorHAnsi" w:cstheme="minorHAnsi"/>
          <w:b w:val="0"/>
          <w:sz w:val="24"/>
          <w:szCs w:val="24"/>
          <w:vertAlign w:val="superscript"/>
        </w:rPr>
        <w:t>10</w:t>
      </w:r>
      <w:r w:rsidR="00EA3756" w:rsidRPr="00CE66BE">
        <w:rPr>
          <w:rFonts w:asciiTheme="minorHAnsi" w:hAnsiTheme="minorHAnsi" w:cstheme="minorHAnsi"/>
          <w:b w:val="0"/>
          <w:sz w:val="24"/>
          <w:szCs w:val="24"/>
        </w:rPr>
        <w:t>, Miriam Gatt</w:t>
      </w:r>
      <w:r w:rsidR="00EA3756" w:rsidRPr="00CE66BE">
        <w:rPr>
          <w:rFonts w:asciiTheme="minorHAnsi" w:hAnsiTheme="minorHAnsi" w:cstheme="minorHAnsi"/>
          <w:b w:val="0"/>
          <w:sz w:val="24"/>
          <w:szCs w:val="24"/>
          <w:vertAlign w:val="superscript"/>
        </w:rPr>
        <w:t>13</w:t>
      </w:r>
      <w:r w:rsidR="00EA3756" w:rsidRPr="00CE66BE">
        <w:rPr>
          <w:rFonts w:asciiTheme="minorHAnsi" w:hAnsiTheme="minorHAnsi" w:cstheme="minorHAnsi"/>
          <w:b w:val="0"/>
          <w:color w:val="706F6F"/>
          <w:sz w:val="24"/>
          <w:szCs w:val="24"/>
        </w:rPr>
        <w:t xml:space="preserve">, </w:t>
      </w:r>
      <w:r w:rsidR="00EA3756" w:rsidRPr="00CE66BE">
        <w:rPr>
          <w:rFonts w:asciiTheme="minorHAnsi" w:hAnsiTheme="minorHAnsi" w:cstheme="minorHAnsi"/>
          <w:b w:val="0"/>
          <w:sz w:val="24"/>
          <w:szCs w:val="24"/>
        </w:rPr>
        <w:t>Mika Gissler</w:t>
      </w:r>
      <w:r w:rsidR="00EA3756" w:rsidRPr="00CE66BE">
        <w:rPr>
          <w:rFonts w:asciiTheme="minorHAnsi" w:hAnsiTheme="minorHAnsi" w:cstheme="minorHAnsi"/>
          <w:b w:val="0"/>
          <w:sz w:val="24"/>
          <w:szCs w:val="24"/>
          <w:vertAlign w:val="superscript"/>
        </w:rPr>
        <w:t>14</w:t>
      </w:r>
      <w:r w:rsidR="00EA3756" w:rsidRPr="00CE66BE">
        <w:rPr>
          <w:rFonts w:asciiTheme="minorHAnsi" w:hAnsiTheme="minorHAnsi" w:cstheme="minorHAnsi"/>
          <w:b w:val="0"/>
          <w:sz w:val="24"/>
          <w:szCs w:val="24"/>
        </w:rPr>
        <w:t>, Sue Jordan</w:t>
      </w:r>
      <w:r w:rsidR="00EA3756" w:rsidRPr="00CE66BE">
        <w:rPr>
          <w:rFonts w:asciiTheme="minorHAnsi" w:hAnsiTheme="minorHAnsi" w:cstheme="minorHAnsi"/>
          <w:b w:val="0"/>
          <w:sz w:val="24"/>
          <w:szCs w:val="24"/>
          <w:vertAlign w:val="superscript"/>
        </w:rPr>
        <w:t>15</w:t>
      </w:r>
      <w:r w:rsidR="00EA3756" w:rsidRPr="00CE66BE">
        <w:rPr>
          <w:rFonts w:asciiTheme="minorHAnsi" w:hAnsiTheme="minorHAnsi" w:cstheme="minorHAnsi"/>
          <w:b w:val="0"/>
          <w:sz w:val="24"/>
          <w:szCs w:val="24"/>
        </w:rPr>
        <w:t>, Babak Khoshnood</w:t>
      </w:r>
      <w:r w:rsidR="00EA3756" w:rsidRPr="00CE66BE">
        <w:rPr>
          <w:rFonts w:asciiTheme="minorHAnsi" w:hAnsiTheme="minorHAnsi" w:cstheme="minorHAnsi"/>
          <w:b w:val="0"/>
          <w:sz w:val="24"/>
          <w:szCs w:val="24"/>
          <w:vertAlign w:val="superscript"/>
        </w:rPr>
        <w:t>16</w:t>
      </w:r>
      <w:r w:rsidR="00A87DB7" w:rsidRPr="00CE66BE">
        <w:rPr>
          <w:rFonts w:asciiTheme="minorHAnsi" w:hAnsiTheme="minorHAnsi" w:cstheme="minorHAnsi"/>
          <w:b w:val="0"/>
          <w:sz w:val="24"/>
          <w:szCs w:val="24"/>
        </w:rPr>
        <w:t xml:space="preserve">, </w:t>
      </w:r>
      <w:r w:rsidR="00EA3756" w:rsidRPr="00CE66BE">
        <w:rPr>
          <w:rFonts w:asciiTheme="minorHAnsi" w:hAnsiTheme="minorHAnsi" w:cstheme="minorHAnsi"/>
          <w:b w:val="0"/>
          <w:sz w:val="24"/>
          <w:szCs w:val="24"/>
        </w:rPr>
        <w:t>Sonja Kiuru-Kuhlefelt</w:t>
      </w:r>
      <w:r w:rsidR="00EA3756" w:rsidRPr="00CE66BE">
        <w:rPr>
          <w:rFonts w:asciiTheme="minorHAnsi" w:hAnsiTheme="minorHAnsi" w:cstheme="minorHAnsi"/>
          <w:b w:val="0"/>
          <w:sz w:val="24"/>
          <w:szCs w:val="24"/>
          <w:vertAlign w:val="superscript"/>
        </w:rPr>
        <w:t>14</w:t>
      </w:r>
      <w:r w:rsidR="00EA3756" w:rsidRPr="00CE66BE">
        <w:rPr>
          <w:rFonts w:asciiTheme="minorHAnsi" w:hAnsiTheme="minorHAnsi" w:cstheme="minorHAnsi"/>
          <w:b w:val="0"/>
          <w:sz w:val="24"/>
          <w:szCs w:val="24"/>
        </w:rPr>
        <w:t>,</w:t>
      </w:r>
      <w:r w:rsidR="00B04F34" w:rsidRPr="00CE66BE">
        <w:rPr>
          <w:rFonts w:asciiTheme="minorHAnsi" w:hAnsiTheme="minorHAnsi" w:cstheme="minorHAnsi"/>
          <w:b w:val="0"/>
          <w:sz w:val="24"/>
          <w:szCs w:val="24"/>
        </w:rPr>
        <w:t xml:space="preserve"> </w:t>
      </w:r>
      <w:r w:rsidR="00EA3756" w:rsidRPr="00CE66BE">
        <w:rPr>
          <w:rFonts w:asciiTheme="minorHAnsi" w:hAnsiTheme="minorHAnsi" w:cstheme="minorHAnsi"/>
          <w:b w:val="0"/>
          <w:sz w:val="24"/>
          <w:szCs w:val="24"/>
        </w:rPr>
        <w:t>Kari Klungsøyr</w:t>
      </w:r>
      <w:r w:rsidR="00EA3756" w:rsidRPr="00CE66BE">
        <w:rPr>
          <w:rFonts w:asciiTheme="minorHAnsi" w:hAnsiTheme="minorHAnsi" w:cstheme="minorHAnsi"/>
          <w:b w:val="0"/>
          <w:sz w:val="24"/>
          <w:szCs w:val="24"/>
          <w:vertAlign w:val="superscript"/>
        </w:rPr>
        <w:t>17,18</w:t>
      </w:r>
      <w:r w:rsidR="00B04F34" w:rsidRPr="00CE66BE">
        <w:rPr>
          <w:rFonts w:asciiTheme="minorHAnsi" w:hAnsiTheme="minorHAnsi" w:cstheme="minorHAnsi"/>
          <w:b w:val="0"/>
          <w:sz w:val="24"/>
          <w:szCs w:val="24"/>
        </w:rPr>
        <w:t>, Nathalie Lelong</w:t>
      </w:r>
      <w:r w:rsidR="00B04F34" w:rsidRPr="00CE66BE">
        <w:rPr>
          <w:rFonts w:asciiTheme="minorHAnsi" w:hAnsiTheme="minorHAnsi" w:cstheme="minorHAnsi"/>
          <w:b w:val="0"/>
          <w:sz w:val="24"/>
          <w:szCs w:val="24"/>
          <w:vertAlign w:val="superscript"/>
        </w:rPr>
        <w:t>16</w:t>
      </w:r>
      <w:r w:rsidR="00B04F34" w:rsidRPr="00CE66BE">
        <w:rPr>
          <w:rFonts w:asciiTheme="minorHAnsi" w:hAnsiTheme="minorHAnsi" w:cstheme="minorHAnsi"/>
          <w:b w:val="0"/>
          <w:sz w:val="24"/>
          <w:szCs w:val="24"/>
        </w:rPr>
        <w:t>,</w:t>
      </w:r>
      <w:r w:rsidR="00B04F34" w:rsidRPr="00CE66BE">
        <w:rPr>
          <w:rFonts w:asciiTheme="minorHAnsi" w:hAnsiTheme="minorHAnsi" w:cstheme="minorHAnsi"/>
          <w:b w:val="0"/>
          <w:sz w:val="24"/>
          <w:szCs w:val="24"/>
          <w:vertAlign w:val="superscript"/>
        </w:rPr>
        <w:t xml:space="preserve"> </w:t>
      </w:r>
      <w:r w:rsidR="00B04F34" w:rsidRPr="00CE66BE">
        <w:rPr>
          <w:rFonts w:asciiTheme="minorHAnsi" w:hAnsiTheme="minorHAnsi" w:cstheme="minorHAnsi"/>
          <w:b w:val="0"/>
          <w:sz w:val="24"/>
          <w:szCs w:val="24"/>
        </w:rPr>
        <w:t>L. Renée Lutke</w:t>
      </w:r>
      <w:r w:rsidR="00B04F34" w:rsidRPr="00CE66BE">
        <w:rPr>
          <w:rFonts w:asciiTheme="minorHAnsi" w:hAnsiTheme="minorHAnsi" w:cstheme="minorHAnsi"/>
          <w:b w:val="0"/>
          <w:sz w:val="24"/>
          <w:szCs w:val="24"/>
          <w:vertAlign w:val="superscript"/>
        </w:rPr>
        <w:t>11</w:t>
      </w:r>
      <w:r w:rsidR="00B04F34" w:rsidRPr="00CE66BE">
        <w:rPr>
          <w:rFonts w:asciiTheme="minorHAnsi" w:hAnsiTheme="minorHAnsi" w:cstheme="minorHAnsi"/>
          <w:b w:val="0"/>
          <w:sz w:val="24"/>
          <w:szCs w:val="24"/>
        </w:rPr>
        <w:t>, Olatz Mokoroa</w:t>
      </w:r>
      <w:r w:rsidR="00B04F34" w:rsidRPr="00CE66BE">
        <w:rPr>
          <w:rFonts w:asciiTheme="minorHAnsi" w:hAnsiTheme="minorHAnsi" w:cstheme="minorHAnsi"/>
          <w:b w:val="0"/>
          <w:sz w:val="24"/>
          <w:szCs w:val="24"/>
          <w:vertAlign w:val="superscript"/>
        </w:rPr>
        <w:t>7</w:t>
      </w:r>
      <w:r w:rsidR="00B04F34" w:rsidRPr="00CE66BE">
        <w:rPr>
          <w:rFonts w:asciiTheme="minorHAnsi" w:hAnsiTheme="minorHAnsi" w:cstheme="minorHAnsi"/>
          <w:b w:val="0"/>
          <w:sz w:val="24"/>
          <w:szCs w:val="24"/>
        </w:rPr>
        <w:t>,</w:t>
      </w:r>
      <w:r w:rsidR="00B04F34" w:rsidRPr="00CE66BE">
        <w:rPr>
          <w:rFonts w:asciiTheme="minorHAnsi" w:hAnsiTheme="minorHAnsi" w:cstheme="minorHAnsi"/>
          <w:b w:val="0"/>
          <w:sz w:val="24"/>
          <w:szCs w:val="24"/>
          <w:vertAlign w:val="superscript"/>
        </w:rPr>
        <w:t xml:space="preserve">  </w:t>
      </w:r>
      <w:r w:rsidR="00B04F34" w:rsidRPr="00CE66BE">
        <w:rPr>
          <w:rFonts w:asciiTheme="minorHAnsi" w:hAnsiTheme="minorHAnsi" w:cstheme="minorHAnsi"/>
          <w:b w:val="0"/>
          <w:sz w:val="24"/>
          <w:szCs w:val="24"/>
        </w:rPr>
        <w:t>Vera Nelen</w:t>
      </w:r>
      <w:r w:rsidR="00B04F34" w:rsidRPr="00CE66BE">
        <w:rPr>
          <w:rFonts w:asciiTheme="minorHAnsi" w:hAnsiTheme="minorHAnsi" w:cstheme="minorHAnsi"/>
          <w:b w:val="0"/>
          <w:sz w:val="24"/>
          <w:szCs w:val="24"/>
          <w:vertAlign w:val="superscript"/>
        </w:rPr>
        <w:t>12</w:t>
      </w:r>
      <w:r w:rsidR="00B04F34" w:rsidRPr="00CE66BE">
        <w:rPr>
          <w:rFonts w:asciiTheme="minorHAnsi" w:hAnsiTheme="minorHAnsi" w:cstheme="minorHAnsi"/>
          <w:b w:val="0"/>
          <w:sz w:val="24"/>
          <w:szCs w:val="24"/>
        </w:rPr>
        <w:t>, Amanda J Neville</w:t>
      </w:r>
      <w:r w:rsidR="003A398B" w:rsidRPr="00CE66BE">
        <w:rPr>
          <w:rFonts w:asciiTheme="minorHAnsi" w:hAnsiTheme="minorHAnsi" w:cstheme="minorHAnsi"/>
          <w:b w:val="0"/>
          <w:sz w:val="24"/>
          <w:szCs w:val="24"/>
          <w:vertAlign w:val="superscript"/>
        </w:rPr>
        <w:t>19</w:t>
      </w:r>
      <w:r w:rsidR="00B04F34" w:rsidRPr="00CE66BE">
        <w:rPr>
          <w:rFonts w:asciiTheme="minorHAnsi" w:hAnsiTheme="minorHAnsi" w:cstheme="minorHAnsi"/>
          <w:b w:val="0"/>
          <w:sz w:val="24"/>
          <w:szCs w:val="24"/>
        </w:rPr>
        <w:t>, Ljubica Odak</w:t>
      </w:r>
      <w:r w:rsidR="00B04F34" w:rsidRPr="00CE66BE">
        <w:rPr>
          <w:rFonts w:asciiTheme="minorHAnsi" w:hAnsiTheme="minorHAnsi" w:cstheme="minorHAnsi"/>
          <w:b w:val="0"/>
          <w:sz w:val="24"/>
          <w:szCs w:val="24"/>
          <w:vertAlign w:val="superscript"/>
        </w:rPr>
        <w:t>9</w:t>
      </w:r>
      <w:r w:rsidR="00B04F34" w:rsidRPr="00CE66BE">
        <w:rPr>
          <w:rFonts w:asciiTheme="minorHAnsi" w:hAnsiTheme="minorHAnsi" w:cstheme="minorHAnsi"/>
          <w:b w:val="0"/>
          <w:sz w:val="24"/>
          <w:szCs w:val="24"/>
        </w:rPr>
        <w:t>, Anke Rissmann</w:t>
      </w:r>
      <w:r w:rsidR="003A398B" w:rsidRPr="00CE66BE">
        <w:rPr>
          <w:rFonts w:asciiTheme="minorHAnsi" w:hAnsiTheme="minorHAnsi" w:cstheme="minorHAnsi"/>
          <w:b w:val="0"/>
          <w:sz w:val="24"/>
          <w:szCs w:val="24"/>
          <w:vertAlign w:val="superscript"/>
        </w:rPr>
        <w:t>20</w:t>
      </w:r>
      <w:r w:rsidR="00B04F34" w:rsidRPr="00CE66BE">
        <w:rPr>
          <w:rFonts w:asciiTheme="minorHAnsi" w:hAnsiTheme="minorHAnsi" w:cstheme="minorHAnsi"/>
          <w:b w:val="0"/>
          <w:sz w:val="24"/>
          <w:szCs w:val="24"/>
        </w:rPr>
        <w:t xml:space="preserve">, </w:t>
      </w:r>
      <w:proofErr w:type="spellStart"/>
      <w:r w:rsidR="00B04F34" w:rsidRPr="00CE66BE">
        <w:rPr>
          <w:rFonts w:asciiTheme="minorHAnsi" w:hAnsiTheme="minorHAnsi" w:cstheme="minorHAnsi"/>
          <w:b w:val="0"/>
          <w:sz w:val="24"/>
          <w:szCs w:val="24"/>
        </w:rPr>
        <w:t>Ieuan</w:t>
      </w:r>
      <w:proofErr w:type="spellEnd"/>
      <w:r w:rsidR="00B04F34" w:rsidRPr="00CE66BE">
        <w:rPr>
          <w:rFonts w:asciiTheme="minorHAnsi" w:hAnsiTheme="minorHAnsi" w:cstheme="minorHAnsi"/>
          <w:b w:val="0"/>
          <w:sz w:val="24"/>
          <w:szCs w:val="24"/>
        </w:rPr>
        <w:t xml:space="preserve"> Scanlon</w:t>
      </w:r>
      <w:r w:rsidR="00B04F34" w:rsidRPr="00CE66BE">
        <w:rPr>
          <w:rFonts w:asciiTheme="minorHAnsi" w:hAnsiTheme="minorHAnsi" w:cstheme="minorHAnsi"/>
          <w:b w:val="0"/>
          <w:sz w:val="24"/>
          <w:szCs w:val="24"/>
          <w:vertAlign w:val="superscript"/>
        </w:rPr>
        <w:t>15</w:t>
      </w:r>
      <w:r w:rsidR="00B04F34" w:rsidRPr="00CE66BE">
        <w:rPr>
          <w:rFonts w:asciiTheme="minorHAnsi" w:hAnsiTheme="minorHAnsi" w:cstheme="minorHAnsi"/>
          <w:b w:val="0"/>
          <w:sz w:val="24"/>
          <w:szCs w:val="24"/>
        </w:rPr>
        <w:t xml:space="preserve">, Stine </w:t>
      </w:r>
      <w:proofErr w:type="spellStart"/>
      <w:r w:rsidR="00B04F34" w:rsidRPr="00CE66BE">
        <w:rPr>
          <w:rFonts w:asciiTheme="minorHAnsi" w:hAnsiTheme="minorHAnsi" w:cstheme="minorHAnsi"/>
          <w:b w:val="0"/>
          <w:sz w:val="24"/>
          <w:szCs w:val="24"/>
        </w:rPr>
        <w:t>Kjaer</w:t>
      </w:r>
      <w:proofErr w:type="spellEnd"/>
      <w:r w:rsidR="00B04F34" w:rsidRPr="00CE66BE">
        <w:rPr>
          <w:rFonts w:asciiTheme="minorHAnsi" w:hAnsiTheme="minorHAnsi" w:cstheme="minorHAnsi"/>
          <w:b w:val="0"/>
          <w:sz w:val="24"/>
          <w:szCs w:val="24"/>
        </w:rPr>
        <w:t xml:space="preserve"> Urhoj</w:t>
      </w:r>
      <w:r w:rsidR="00E66A76" w:rsidRPr="00CE66BE">
        <w:rPr>
          <w:rFonts w:asciiTheme="minorHAnsi" w:hAnsiTheme="minorHAnsi" w:cstheme="minorHAnsi"/>
          <w:b w:val="0"/>
          <w:sz w:val="24"/>
          <w:szCs w:val="24"/>
          <w:vertAlign w:val="superscript"/>
        </w:rPr>
        <w:t>5</w:t>
      </w:r>
      <w:r w:rsidR="00B04F34" w:rsidRPr="00CE66BE">
        <w:rPr>
          <w:rFonts w:asciiTheme="minorHAnsi" w:hAnsiTheme="minorHAnsi" w:cstheme="minorHAnsi"/>
          <w:b w:val="0"/>
          <w:sz w:val="24"/>
          <w:szCs w:val="24"/>
        </w:rPr>
        <w:t>, Diana Wellesley</w:t>
      </w:r>
      <w:r w:rsidR="00B04F34" w:rsidRPr="00CE66BE">
        <w:rPr>
          <w:rFonts w:asciiTheme="minorHAnsi" w:hAnsiTheme="minorHAnsi" w:cstheme="minorHAnsi"/>
          <w:b w:val="0"/>
          <w:sz w:val="24"/>
          <w:szCs w:val="24"/>
          <w:vertAlign w:val="superscript"/>
        </w:rPr>
        <w:t>2</w:t>
      </w:r>
      <w:r w:rsidR="003A398B" w:rsidRPr="00CE66BE">
        <w:rPr>
          <w:rFonts w:asciiTheme="minorHAnsi" w:hAnsiTheme="minorHAnsi" w:cstheme="minorHAnsi"/>
          <w:b w:val="0"/>
          <w:sz w:val="24"/>
          <w:szCs w:val="24"/>
          <w:vertAlign w:val="superscript"/>
        </w:rPr>
        <w:t>1</w:t>
      </w:r>
      <w:r w:rsidR="00B04F34" w:rsidRPr="00CE66BE">
        <w:rPr>
          <w:rFonts w:asciiTheme="minorHAnsi" w:hAnsiTheme="minorHAnsi" w:cstheme="minorHAnsi"/>
          <w:b w:val="0"/>
          <w:sz w:val="24"/>
          <w:szCs w:val="24"/>
        </w:rPr>
        <w:t>, Wladimir Wertelecki</w:t>
      </w:r>
      <w:r w:rsidR="00B04F34" w:rsidRPr="00CE66BE">
        <w:rPr>
          <w:rFonts w:asciiTheme="minorHAnsi" w:hAnsiTheme="minorHAnsi" w:cstheme="minorHAnsi"/>
          <w:b w:val="0"/>
          <w:sz w:val="24"/>
          <w:szCs w:val="24"/>
          <w:vertAlign w:val="superscript"/>
        </w:rPr>
        <w:t>2</w:t>
      </w:r>
      <w:r w:rsidR="003A398B" w:rsidRPr="00CE66BE">
        <w:rPr>
          <w:rFonts w:asciiTheme="minorHAnsi" w:hAnsiTheme="minorHAnsi" w:cstheme="minorHAnsi"/>
          <w:b w:val="0"/>
          <w:sz w:val="24"/>
          <w:szCs w:val="24"/>
          <w:vertAlign w:val="superscript"/>
        </w:rPr>
        <w:t>2</w:t>
      </w:r>
      <w:r w:rsidR="00B04F34" w:rsidRPr="00CE66BE">
        <w:rPr>
          <w:rFonts w:asciiTheme="minorHAnsi" w:hAnsiTheme="minorHAnsi" w:cstheme="minorHAnsi"/>
          <w:b w:val="0"/>
          <w:sz w:val="24"/>
          <w:szCs w:val="24"/>
        </w:rPr>
        <w:t>,</w:t>
      </w:r>
      <w:r w:rsidR="00B04F34" w:rsidRPr="00CE66BE">
        <w:rPr>
          <w:rFonts w:asciiTheme="minorHAnsi" w:hAnsiTheme="minorHAnsi" w:cstheme="minorHAnsi"/>
          <w:b w:val="0"/>
          <w:sz w:val="24"/>
          <w:szCs w:val="24"/>
          <w:vertAlign w:val="superscript"/>
        </w:rPr>
        <w:t xml:space="preserve"> </w:t>
      </w:r>
      <w:r w:rsidR="00B04F34" w:rsidRPr="00CE66BE">
        <w:rPr>
          <w:rFonts w:asciiTheme="minorHAnsi" w:hAnsiTheme="minorHAnsi" w:cstheme="minorHAnsi"/>
          <w:b w:val="0"/>
          <w:sz w:val="24"/>
          <w:szCs w:val="24"/>
        </w:rPr>
        <w:t>Lyubov Yevtushok</w:t>
      </w:r>
      <w:r w:rsidR="00B04F34" w:rsidRPr="00CE66BE">
        <w:rPr>
          <w:rFonts w:asciiTheme="minorHAnsi" w:hAnsiTheme="minorHAnsi" w:cstheme="minorHAnsi"/>
          <w:b w:val="0"/>
          <w:sz w:val="24"/>
          <w:szCs w:val="24"/>
          <w:vertAlign w:val="superscript"/>
        </w:rPr>
        <w:t>2</w:t>
      </w:r>
      <w:r w:rsidR="003A398B" w:rsidRPr="00CE66BE">
        <w:rPr>
          <w:rFonts w:asciiTheme="minorHAnsi" w:hAnsiTheme="minorHAnsi" w:cstheme="minorHAnsi"/>
          <w:b w:val="0"/>
          <w:sz w:val="24"/>
          <w:szCs w:val="24"/>
          <w:vertAlign w:val="superscript"/>
        </w:rPr>
        <w:t>2</w:t>
      </w:r>
      <w:r w:rsidR="00B04F34" w:rsidRPr="00CE66BE">
        <w:rPr>
          <w:rFonts w:asciiTheme="minorHAnsi" w:hAnsiTheme="minorHAnsi" w:cstheme="minorHAnsi"/>
          <w:b w:val="0"/>
          <w:sz w:val="24"/>
          <w:szCs w:val="24"/>
        </w:rPr>
        <w:t xml:space="preserve">, </w:t>
      </w:r>
      <w:r w:rsidR="00E46C72" w:rsidRPr="00CE66BE">
        <w:rPr>
          <w:rFonts w:asciiTheme="minorHAnsi" w:hAnsiTheme="minorHAnsi" w:cstheme="minorHAnsi"/>
          <w:b w:val="0"/>
          <w:sz w:val="24"/>
          <w:szCs w:val="24"/>
        </w:rPr>
        <w:t>Joan K Morris</w:t>
      </w:r>
      <w:r w:rsidR="00E66A76" w:rsidRPr="00CE66BE">
        <w:rPr>
          <w:rFonts w:asciiTheme="minorHAnsi" w:hAnsiTheme="minorHAnsi" w:cstheme="minorHAnsi"/>
          <w:b w:val="0"/>
          <w:sz w:val="24"/>
          <w:szCs w:val="24"/>
          <w:vertAlign w:val="superscript"/>
        </w:rPr>
        <w:t>4</w:t>
      </w:r>
    </w:p>
    <w:p w14:paraId="63F8459C" w14:textId="548957D6" w:rsidR="00657D56" w:rsidRPr="00CE66BE" w:rsidRDefault="00657D56" w:rsidP="00754F3C">
      <w:pPr>
        <w:spacing w:after="0" w:line="240" w:lineRule="auto"/>
        <w:rPr>
          <w:rFonts w:cstheme="minorHAnsi"/>
          <w:sz w:val="20"/>
          <w:szCs w:val="20"/>
          <w:lang w:val="en-GB"/>
        </w:rPr>
      </w:pPr>
      <w:r w:rsidRPr="00CE66BE">
        <w:rPr>
          <w:rFonts w:cstheme="minorHAnsi"/>
          <w:sz w:val="20"/>
          <w:szCs w:val="20"/>
          <w:vertAlign w:val="superscript"/>
          <w:lang w:val="en-GB"/>
        </w:rPr>
        <w:t xml:space="preserve">1 </w:t>
      </w:r>
      <w:r w:rsidRPr="00CE66BE">
        <w:rPr>
          <w:rFonts w:cstheme="minorHAnsi"/>
          <w:sz w:val="20"/>
          <w:szCs w:val="20"/>
          <w:lang w:val="en-GB"/>
        </w:rPr>
        <w:t xml:space="preserve">Unit of Epidemiology of Rare diseases and Congenital anomalies, Institute of Clinical Physiology, National Research Council, Pisa, Italy. </w:t>
      </w:r>
    </w:p>
    <w:p w14:paraId="3455EE6F" w14:textId="097B0047" w:rsidR="00657D56" w:rsidRPr="00CE66BE" w:rsidRDefault="00657D56" w:rsidP="00754F3C">
      <w:pPr>
        <w:spacing w:after="0" w:line="240" w:lineRule="auto"/>
        <w:rPr>
          <w:rFonts w:cstheme="minorHAnsi"/>
          <w:sz w:val="20"/>
          <w:szCs w:val="20"/>
        </w:rPr>
      </w:pPr>
      <w:r w:rsidRPr="00CE66BE">
        <w:rPr>
          <w:rFonts w:cstheme="minorHAnsi"/>
          <w:sz w:val="20"/>
          <w:szCs w:val="20"/>
          <w:vertAlign w:val="superscript"/>
        </w:rPr>
        <w:t xml:space="preserve">2 </w:t>
      </w:r>
      <w:r w:rsidRPr="00CE66BE">
        <w:rPr>
          <w:rFonts w:cstheme="minorHAnsi"/>
          <w:sz w:val="20"/>
          <w:szCs w:val="20"/>
        </w:rPr>
        <w:t xml:space="preserve">Fondazione Toscana Gabriele </w:t>
      </w:r>
      <w:proofErr w:type="spellStart"/>
      <w:r w:rsidRPr="00CE66BE">
        <w:rPr>
          <w:rFonts w:cstheme="minorHAnsi"/>
          <w:sz w:val="20"/>
          <w:szCs w:val="20"/>
        </w:rPr>
        <w:t>Monasterio</w:t>
      </w:r>
      <w:proofErr w:type="spellEnd"/>
      <w:r w:rsidRPr="00CE66BE">
        <w:rPr>
          <w:rFonts w:cstheme="minorHAnsi"/>
          <w:sz w:val="20"/>
          <w:szCs w:val="20"/>
        </w:rPr>
        <w:t xml:space="preserve">, Pisa, </w:t>
      </w:r>
      <w:proofErr w:type="spellStart"/>
      <w:r w:rsidRPr="00CE66BE">
        <w:rPr>
          <w:rFonts w:cstheme="minorHAnsi"/>
          <w:sz w:val="20"/>
          <w:szCs w:val="20"/>
        </w:rPr>
        <w:t>Italy</w:t>
      </w:r>
      <w:proofErr w:type="spellEnd"/>
      <w:r w:rsidRPr="00CE66BE">
        <w:rPr>
          <w:rFonts w:cstheme="minorHAnsi"/>
          <w:sz w:val="20"/>
          <w:szCs w:val="20"/>
        </w:rPr>
        <w:t>.</w:t>
      </w:r>
    </w:p>
    <w:p w14:paraId="196B05BA" w14:textId="77777777" w:rsidR="00E66A76" w:rsidRPr="00CE66BE" w:rsidRDefault="00F15799" w:rsidP="00754F3C">
      <w:pPr>
        <w:spacing w:after="0" w:line="240" w:lineRule="auto"/>
        <w:rPr>
          <w:rFonts w:eastAsiaTheme="majorEastAsia" w:cstheme="minorHAnsi"/>
          <w:spacing w:val="-7"/>
          <w:sz w:val="20"/>
          <w:szCs w:val="20"/>
          <w:lang w:val="en-GB"/>
        </w:rPr>
      </w:pPr>
      <w:r w:rsidRPr="00CE66BE">
        <w:rPr>
          <w:rFonts w:cstheme="minorHAnsi"/>
          <w:sz w:val="20"/>
          <w:szCs w:val="20"/>
          <w:vertAlign w:val="superscript"/>
          <w:lang w:val="en-GB"/>
        </w:rPr>
        <w:t xml:space="preserve">3 </w:t>
      </w:r>
      <w:r w:rsidRPr="00CE66BE">
        <w:rPr>
          <w:rFonts w:eastAsiaTheme="majorEastAsia" w:cstheme="minorHAnsi"/>
          <w:spacing w:val="-7"/>
          <w:sz w:val="20"/>
          <w:szCs w:val="20"/>
          <w:lang w:val="en-GB"/>
        </w:rPr>
        <w:t xml:space="preserve">Population Health Sciences Institute, Faculty of Medical Sciences, Newcastle University, Newcastle upon Tyne, United Kingdom </w:t>
      </w:r>
    </w:p>
    <w:p w14:paraId="6487E6AA" w14:textId="77777777" w:rsidR="00E66A76" w:rsidRPr="00CE66BE" w:rsidRDefault="00E66A76" w:rsidP="00754F3C">
      <w:pPr>
        <w:spacing w:after="0" w:line="240" w:lineRule="auto"/>
        <w:rPr>
          <w:rFonts w:eastAsiaTheme="majorEastAsia" w:cstheme="minorHAnsi"/>
          <w:spacing w:val="-7"/>
          <w:sz w:val="20"/>
          <w:szCs w:val="20"/>
          <w:lang w:val="en-GB"/>
        </w:rPr>
      </w:pPr>
      <w:r w:rsidRPr="00CE66BE">
        <w:rPr>
          <w:rFonts w:cstheme="minorHAnsi"/>
          <w:sz w:val="20"/>
          <w:szCs w:val="20"/>
          <w:vertAlign w:val="superscript"/>
          <w:lang w:val="en-GB"/>
        </w:rPr>
        <w:t xml:space="preserve">4 </w:t>
      </w:r>
      <w:r w:rsidRPr="00CE66BE">
        <w:rPr>
          <w:rFonts w:eastAsiaTheme="majorEastAsia" w:cstheme="minorHAnsi"/>
          <w:spacing w:val="-7"/>
          <w:sz w:val="20"/>
          <w:szCs w:val="20"/>
          <w:lang w:val="en-GB"/>
        </w:rPr>
        <w:t>Population Health Research Institute, St George’s, University of London, UK</w:t>
      </w:r>
    </w:p>
    <w:p w14:paraId="1AE24BB9" w14:textId="51F66FC6" w:rsidR="00657D56" w:rsidRPr="00CE66BE" w:rsidRDefault="00E66A76" w:rsidP="00754F3C">
      <w:pPr>
        <w:spacing w:after="0" w:line="240" w:lineRule="auto"/>
        <w:rPr>
          <w:rFonts w:eastAsiaTheme="majorEastAsia" w:cstheme="minorHAnsi"/>
          <w:spacing w:val="-7"/>
          <w:sz w:val="20"/>
          <w:szCs w:val="20"/>
          <w:lang w:val="en-GB"/>
        </w:rPr>
      </w:pPr>
      <w:r w:rsidRPr="00CE66BE">
        <w:rPr>
          <w:rFonts w:cstheme="minorHAnsi"/>
          <w:sz w:val="20"/>
          <w:szCs w:val="20"/>
          <w:vertAlign w:val="superscript"/>
          <w:lang w:val="en-GB"/>
        </w:rPr>
        <w:t>5</w:t>
      </w:r>
      <w:r w:rsidR="00657D56" w:rsidRPr="00CE66BE">
        <w:rPr>
          <w:rFonts w:cstheme="minorHAnsi"/>
          <w:sz w:val="20"/>
          <w:szCs w:val="20"/>
          <w:vertAlign w:val="superscript"/>
          <w:lang w:val="en-GB"/>
        </w:rPr>
        <w:t xml:space="preserve"> </w:t>
      </w:r>
      <w:r w:rsidR="00657D56" w:rsidRPr="00CE66BE">
        <w:rPr>
          <w:rFonts w:eastAsiaTheme="majorEastAsia" w:cstheme="minorHAnsi"/>
          <w:spacing w:val="-7"/>
          <w:sz w:val="20"/>
          <w:szCs w:val="20"/>
          <w:lang w:val="en-GB"/>
        </w:rPr>
        <w:t xml:space="preserve">Paediatric Department, Hospital </w:t>
      </w:r>
      <w:proofErr w:type="spellStart"/>
      <w:r w:rsidR="00657D56" w:rsidRPr="00CE66BE">
        <w:rPr>
          <w:rFonts w:eastAsiaTheme="majorEastAsia" w:cstheme="minorHAnsi"/>
          <w:spacing w:val="-7"/>
          <w:sz w:val="20"/>
          <w:szCs w:val="20"/>
          <w:lang w:val="en-GB"/>
        </w:rPr>
        <w:t>Lillebaelt</w:t>
      </w:r>
      <w:proofErr w:type="spellEnd"/>
      <w:r w:rsidR="00657D56" w:rsidRPr="00CE66BE">
        <w:rPr>
          <w:rFonts w:eastAsiaTheme="majorEastAsia" w:cstheme="minorHAnsi"/>
          <w:spacing w:val="-7"/>
          <w:sz w:val="20"/>
          <w:szCs w:val="20"/>
          <w:lang w:val="en-GB"/>
        </w:rPr>
        <w:t>, Kolding, Denmark</w:t>
      </w:r>
    </w:p>
    <w:p w14:paraId="01B54564" w14:textId="328ED160" w:rsidR="00657D56" w:rsidRPr="00CE66BE" w:rsidRDefault="00E66A76" w:rsidP="00754F3C">
      <w:pPr>
        <w:spacing w:after="0" w:line="240" w:lineRule="auto"/>
        <w:rPr>
          <w:rFonts w:cstheme="minorHAnsi"/>
          <w:sz w:val="20"/>
          <w:szCs w:val="20"/>
          <w:lang w:val="en-GB"/>
        </w:rPr>
      </w:pPr>
      <w:r w:rsidRPr="00CE66BE">
        <w:rPr>
          <w:rFonts w:cstheme="minorHAnsi"/>
          <w:sz w:val="20"/>
          <w:szCs w:val="20"/>
          <w:vertAlign w:val="superscript"/>
          <w:lang w:val="en-GB"/>
        </w:rPr>
        <w:t>6</w:t>
      </w:r>
      <w:r w:rsidR="00F15799" w:rsidRPr="00CE66BE">
        <w:rPr>
          <w:rFonts w:cstheme="minorHAnsi"/>
          <w:sz w:val="20"/>
          <w:szCs w:val="20"/>
          <w:vertAlign w:val="superscript"/>
          <w:lang w:val="en-GB"/>
        </w:rPr>
        <w:t xml:space="preserve"> </w:t>
      </w:r>
      <w:r w:rsidR="00F15799" w:rsidRPr="00CE66BE">
        <w:rPr>
          <w:rFonts w:eastAsiaTheme="majorEastAsia" w:cstheme="minorHAnsi"/>
          <w:spacing w:val="-7"/>
          <w:sz w:val="20"/>
          <w:szCs w:val="20"/>
          <w:lang w:val="en-GB"/>
        </w:rPr>
        <w:t>Faculty of Life and Health Sciences, Ulster University, Northern Ireland, UK</w:t>
      </w:r>
      <w:r w:rsidR="00657D56" w:rsidRPr="00CE66BE">
        <w:rPr>
          <w:rFonts w:cstheme="minorHAnsi"/>
          <w:sz w:val="20"/>
          <w:szCs w:val="20"/>
          <w:lang w:val="en-GB"/>
        </w:rPr>
        <w:t>.</w:t>
      </w:r>
    </w:p>
    <w:p w14:paraId="5D9E814E" w14:textId="7D3034EF" w:rsidR="00F15799" w:rsidRPr="00CE66BE" w:rsidRDefault="00F15799" w:rsidP="00754F3C">
      <w:pPr>
        <w:spacing w:after="0" w:line="240" w:lineRule="auto"/>
        <w:rPr>
          <w:rFonts w:eastAsiaTheme="majorEastAsia" w:cstheme="minorHAnsi"/>
          <w:spacing w:val="-7"/>
          <w:sz w:val="20"/>
          <w:szCs w:val="20"/>
          <w:lang w:val="en-GB"/>
        </w:rPr>
      </w:pPr>
      <w:r w:rsidRPr="00CE66BE">
        <w:rPr>
          <w:rFonts w:cstheme="minorHAnsi"/>
          <w:sz w:val="20"/>
          <w:szCs w:val="20"/>
          <w:vertAlign w:val="superscript"/>
          <w:lang w:val="en-GB"/>
        </w:rPr>
        <w:t>7</w:t>
      </w:r>
      <w:r w:rsidRPr="00CE66BE">
        <w:rPr>
          <w:rFonts w:eastAsiaTheme="majorEastAsia" w:cstheme="minorHAnsi"/>
          <w:spacing w:val="-7"/>
          <w:sz w:val="20"/>
          <w:szCs w:val="20"/>
          <w:lang w:val="en-GB"/>
        </w:rPr>
        <w:t xml:space="preserve">Public Health Division of </w:t>
      </w:r>
      <w:proofErr w:type="spellStart"/>
      <w:r w:rsidRPr="00CE66BE">
        <w:rPr>
          <w:rFonts w:eastAsiaTheme="majorEastAsia" w:cstheme="minorHAnsi"/>
          <w:spacing w:val="-7"/>
          <w:sz w:val="20"/>
          <w:szCs w:val="20"/>
          <w:lang w:val="en-GB"/>
        </w:rPr>
        <w:t>Gipuzkoa</w:t>
      </w:r>
      <w:proofErr w:type="spellEnd"/>
      <w:r w:rsidRPr="00CE66BE">
        <w:rPr>
          <w:rFonts w:eastAsiaTheme="majorEastAsia" w:cstheme="minorHAnsi"/>
          <w:spacing w:val="-7"/>
          <w:sz w:val="20"/>
          <w:szCs w:val="20"/>
          <w:lang w:val="en-GB"/>
        </w:rPr>
        <w:t xml:space="preserve">, </w:t>
      </w:r>
      <w:proofErr w:type="spellStart"/>
      <w:r w:rsidRPr="00CE66BE">
        <w:rPr>
          <w:rFonts w:eastAsiaTheme="majorEastAsia" w:cstheme="minorHAnsi"/>
          <w:spacing w:val="-7"/>
          <w:sz w:val="20"/>
          <w:szCs w:val="20"/>
          <w:lang w:val="en-GB"/>
        </w:rPr>
        <w:t>BioDonostia</w:t>
      </w:r>
      <w:proofErr w:type="spellEnd"/>
      <w:r w:rsidRPr="00CE66BE">
        <w:rPr>
          <w:rFonts w:eastAsiaTheme="majorEastAsia" w:cstheme="minorHAnsi"/>
          <w:spacing w:val="-7"/>
          <w:sz w:val="20"/>
          <w:szCs w:val="20"/>
          <w:lang w:val="en-GB"/>
        </w:rPr>
        <w:t xml:space="preserve"> Research Institute, San Sebastian, Spain</w:t>
      </w:r>
    </w:p>
    <w:p w14:paraId="3D6BA84A" w14:textId="2F780046" w:rsidR="003A398B" w:rsidRPr="00CE66BE" w:rsidRDefault="003A398B" w:rsidP="00754F3C">
      <w:pPr>
        <w:spacing w:after="0" w:line="240" w:lineRule="auto"/>
        <w:rPr>
          <w:rFonts w:eastAsiaTheme="majorEastAsia" w:cstheme="minorHAnsi"/>
          <w:spacing w:val="-7"/>
          <w:sz w:val="20"/>
          <w:szCs w:val="20"/>
          <w:lang w:val="en-GB"/>
        </w:rPr>
      </w:pPr>
      <w:r w:rsidRPr="00CE66BE">
        <w:rPr>
          <w:rFonts w:eastAsiaTheme="majorEastAsia" w:cstheme="minorHAnsi"/>
          <w:spacing w:val="-7"/>
          <w:sz w:val="20"/>
          <w:szCs w:val="20"/>
          <w:vertAlign w:val="superscript"/>
          <w:lang w:val="en-GB"/>
        </w:rPr>
        <w:t>8</w:t>
      </w:r>
      <w:r w:rsidRPr="00CE66BE">
        <w:rPr>
          <w:rFonts w:eastAsiaTheme="majorEastAsia" w:cstheme="minorHAnsi"/>
          <w:spacing w:val="-7"/>
          <w:sz w:val="20"/>
          <w:szCs w:val="20"/>
          <w:lang w:val="en-GB"/>
        </w:rPr>
        <w:t>IMER Registry, Department of neuroscience and rehabilitation University of Ferrara, Italy</w:t>
      </w:r>
    </w:p>
    <w:p w14:paraId="3FCDAB17" w14:textId="3D418539" w:rsidR="00F15799" w:rsidRPr="00CE66BE" w:rsidRDefault="00F15799" w:rsidP="00754F3C">
      <w:pPr>
        <w:spacing w:after="0" w:line="240" w:lineRule="auto"/>
        <w:rPr>
          <w:rFonts w:eastAsiaTheme="majorEastAsia" w:cstheme="minorHAnsi"/>
          <w:spacing w:val="-7"/>
          <w:sz w:val="20"/>
          <w:szCs w:val="20"/>
          <w:lang w:val="en-GB"/>
        </w:rPr>
      </w:pPr>
      <w:r w:rsidRPr="00CE66BE">
        <w:rPr>
          <w:rFonts w:eastAsiaTheme="majorEastAsia" w:cstheme="minorHAnsi"/>
          <w:spacing w:val="-7"/>
          <w:sz w:val="20"/>
          <w:szCs w:val="20"/>
          <w:vertAlign w:val="superscript"/>
          <w:lang w:val="en-GB"/>
        </w:rPr>
        <w:t>9</w:t>
      </w:r>
      <w:r w:rsidRPr="00CE66BE">
        <w:rPr>
          <w:rFonts w:eastAsiaTheme="majorEastAsia" w:cstheme="minorHAnsi"/>
          <w:spacing w:val="-7"/>
          <w:sz w:val="20"/>
          <w:szCs w:val="20"/>
          <w:lang w:val="en-GB"/>
        </w:rPr>
        <w:t>Children's Hospital Zagreb, Centre of Excellence for Reproductive and Regenerative Medicine, Medical School University of Zagreb, Zagreb, Croatia</w:t>
      </w:r>
    </w:p>
    <w:p w14:paraId="15A0AF68" w14:textId="3B5100D5" w:rsidR="00B9140B" w:rsidRPr="00CE66BE" w:rsidRDefault="00B9140B" w:rsidP="00754F3C">
      <w:pPr>
        <w:spacing w:after="0" w:line="240" w:lineRule="auto"/>
        <w:rPr>
          <w:rFonts w:eastAsiaTheme="majorEastAsia" w:cstheme="minorHAnsi"/>
          <w:spacing w:val="-7"/>
          <w:sz w:val="20"/>
          <w:szCs w:val="20"/>
          <w:lang w:val="en-GB"/>
        </w:rPr>
      </w:pPr>
      <w:r w:rsidRPr="00CE66BE">
        <w:rPr>
          <w:rFonts w:eastAsiaTheme="majorEastAsia" w:cstheme="minorHAnsi"/>
          <w:spacing w:val="-7"/>
          <w:sz w:val="20"/>
          <w:szCs w:val="20"/>
          <w:vertAlign w:val="superscript"/>
          <w:lang w:val="en-GB"/>
        </w:rPr>
        <w:t>10</w:t>
      </w:r>
      <w:r w:rsidRPr="00CE66BE">
        <w:rPr>
          <w:rFonts w:eastAsiaTheme="majorEastAsia" w:cstheme="minorHAnsi"/>
          <w:spacing w:val="-7"/>
          <w:sz w:val="20"/>
          <w:szCs w:val="20"/>
          <w:lang w:val="en-GB"/>
        </w:rPr>
        <w:t>Rare Diseases Research Unit, Foundation for the Promotion of Health and Biomedical Research in the Valencian Region, Valencia, Spain</w:t>
      </w:r>
    </w:p>
    <w:p w14:paraId="3B637265" w14:textId="1F2B2AB4" w:rsidR="00EA3756" w:rsidRPr="00CE66BE" w:rsidRDefault="00EA3756" w:rsidP="00754F3C">
      <w:pPr>
        <w:spacing w:after="0" w:line="240" w:lineRule="auto"/>
        <w:rPr>
          <w:rFonts w:eastAsiaTheme="majorEastAsia" w:cstheme="minorHAnsi"/>
          <w:spacing w:val="-7"/>
          <w:sz w:val="20"/>
          <w:szCs w:val="20"/>
          <w:lang w:val="en-GB"/>
        </w:rPr>
      </w:pPr>
      <w:r w:rsidRPr="00CE66BE">
        <w:rPr>
          <w:rFonts w:eastAsiaTheme="majorEastAsia" w:cstheme="minorHAnsi"/>
          <w:spacing w:val="-7"/>
          <w:sz w:val="20"/>
          <w:szCs w:val="20"/>
          <w:vertAlign w:val="superscript"/>
          <w:lang w:val="en-GB"/>
        </w:rPr>
        <w:t>11</w:t>
      </w:r>
      <w:r w:rsidRPr="00CE66BE">
        <w:rPr>
          <w:rFonts w:eastAsiaTheme="majorEastAsia" w:cstheme="minorHAnsi"/>
          <w:spacing w:val="-7"/>
          <w:sz w:val="20"/>
          <w:szCs w:val="20"/>
          <w:lang w:val="en-GB"/>
        </w:rPr>
        <w:t xml:space="preserve">University of Groningen, University Medical </w:t>
      </w:r>
      <w:proofErr w:type="spellStart"/>
      <w:r w:rsidRPr="00CE66BE">
        <w:rPr>
          <w:rFonts w:eastAsiaTheme="majorEastAsia" w:cstheme="minorHAnsi"/>
          <w:spacing w:val="-7"/>
          <w:sz w:val="20"/>
          <w:szCs w:val="20"/>
          <w:lang w:val="en-GB"/>
        </w:rPr>
        <w:t>Center</w:t>
      </w:r>
      <w:proofErr w:type="spellEnd"/>
      <w:r w:rsidRPr="00CE66BE">
        <w:rPr>
          <w:rFonts w:eastAsiaTheme="majorEastAsia" w:cstheme="minorHAnsi"/>
          <w:spacing w:val="-7"/>
          <w:sz w:val="20"/>
          <w:szCs w:val="20"/>
          <w:lang w:val="en-GB"/>
        </w:rPr>
        <w:t xml:space="preserve"> Groningen, Department of Genetics, Groningen, the Netherlands</w:t>
      </w:r>
    </w:p>
    <w:p w14:paraId="5611EE7E" w14:textId="08F49FBD" w:rsidR="00EA3756" w:rsidRPr="00CE66BE" w:rsidRDefault="00EA3756" w:rsidP="00754F3C">
      <w:pPr>
        <w:spacing w:after="0" w:line="240" w:lineRule="auto"/>
        <w:rPr>
          <w:rFonts w:eastAsiaTheme="majorEastAsia" w:cstheme="minorHAnsi"/>
          <w:spacing w:val="-7"/>
          <w:sz w:val="20"/>
          <w:szCs w:val="20"/>
          <w:lang w:val="en-GB"/>
        </w:rPr>
      </w:pPr>
      <w:r w:rsidRPr="00CE66BE">
        <w:rPr>
          <w:rFonts w:eastAsiaTheme="majorEastAsia" w:cstheme="minorHAnsi"/>
          <w:spacing w:val="-7"/>
          <w:sz w:val="20"/>
          <w:szCs w:val="20"/>
          <w:vertAlign w:val="superscript"/>
          <w:lang w:val="en-GB"/>
        </w:rPr>
        <w:t>12</w:t>
      </w:r>
      <w:r w:rsidRPr="00CE66BE">
        <w:rPr>
          <w:rFonts w:eastAsiaTheme="majorEastAsia" w:cstheme="minorHAnsi"/>
          <w:spacing w:val="-7"/>
          <w:sz w:val="20"/>
          <w:szCs w:val="20"/>
          <w:lang w:val="en-GB"/>
        </w:rPr>
        <w:t>Provincial Institute for Hygiene, Antwerp, Belgium</w:t>
      </w:r>
    </w:p>
    <w:p w14:paraId="28800A3E" w14:textId="5BB22833" w:rsidR="00EA3756" w:rsidRPr="00CE66BE" w:rsidRDefault="00EA3756" w:rsidP="00754F3C">
      <w:pPr>
        <w:spacing w:after="0" w:line="240" w:lineRule="auto"/>
        <w:rPr>
          <w:rFonts w:eastAsiaTheme="majorEastAsia" w:cstheme="minorHAnsi"/>
          <w:spacing w:val="-7"/>
          <w:sz w:val="20"/>
          <w:szCs w:val="20"/>
          <w:lang w:val="en-GB"/>
        </w:rPr>
      </w:pPr>
      <w:r w:rsidRPr="00CE66BE">
        <w:rPr>
          <w:rFonts w:eastAsiaTheme="majorEastAsia" w:cstheme="minorHAnsi"/>
          <w:i/>
          <w:spacing w:val="-7"/>
          <w:sz w:val="20"/>
          <w:szCs w:val="20"/>
          <w:vertAlign w:val="superscript"/>
          <w:lang w:val="en-GB"/>
        </w:rPr>
        <w:t>13</w:t>
      </w:r>
      <w:r w:rsidRPr="00CE66BE">
        <w:rPr>
          <w:rFonts w:eastAsiaTheme="majorEastAsia" w:cstheme="minorHAnsi"/>
          <w:spacing w:val="-7"/>
          <w:sz w:val="20"/>
          <w:szCs w:val="20"/>
          <w:lang w:val="en-GB"/>
        </w:rPr>
        <w:t>Malta Congenital Anomalies Registry, Directorate for Health Information and Research, Malta</w:t>
      </w:r>
    </w:p>
    <w:p w14:paraId="5CBD016B" w14:textId="2A02B638" w:rsidR="00EA3756" w:rsidRPr="00CE66BE" w:rsidRDefault="00EA3756" w:rsidP="00754F3C">
      <w:pPr>
        <w:spacing w:after="0" w:line="240" w:lineRule="auto"/>
        <w:rPr>
          <w:rFonts w:eastAsiaTheme="majorEastAsia" w:cstheme="minorHAnsi"/>
          <w:spacing w:val="-7"/>
          <w:sz w:val="20"/>
          <w:szCs w:val="20"/>
          <w:lang w:val="en-GB"/>
        </w:rPr>
      </w:pPr>
      <w:r w:rsidRPr="00CE66BE">
        <w:rPr>
          <w:rFonts w:eastAsiaTheme="majorEastAsia" w:cstheme="minorHAnsi"/>
          <w:spacing w:val="-7"/>
          <w:sz w:val="20"/>
          <w:szCs w:val="20"/>
          <w:vertAlign w:val="superscript"/>
          <w:lang w:val="en-GB"/>
        </w:rPr>
        <w:t>14</w:t>
      </w:r>
      <w:r w:rsidRPr="00CE66BE">
        <w:rPr>
          <w:rFonts w:eastAsiaTheme="majorEastAsia" w:cstheme="minorHAnsi"/>
          <w:spacing w:val="-7"/>
          <w:sz w:val="20"/>
          <w:szCs w:val="20"/>
          <w:lang w:val="en-GB"/>
        </w:rPr>
        <w:t>THL Finnish Institute for Health and Welfare, Information Services Department, Helsinki, Finland</w:t>
      </w:r>
    </w:p>
    <w:p w14:paraId="719003BF" w14:textId="353327EE" w:rsidR="00EA3756" w:rsidRPr="00CE66BE" w:rsidRDefault="00EA3756" w:rsidP="00754F3C">
      <w:pPr>
        <w:spacing w:after="0" w:line="240" w:lineRule="auto"/>
        <w:rPr>
          <w:rFonts w:eastAsiaTheme="majorEastAsia" w:cstheme="minorHAnsi"/>
          <w:spacing w:val="-7"/>
          <w:sz w:val="20"/>
          <w:szCs w:val="20"/>
          <w:lang w:val="en-GB"/>
        </w:rPr>
      </w:pPr>
      <w:r w:rsidRPr="00CE66BE">
        <w:rPr>
          <w:rFonts w:eastAsiaTheme="majorEastAsia" w:cstheme="minorHAnsi"/>
          <w:spacing w:val="-7"/>
          <w:sz w:val="20"/>
          <w:szCs w:val="20"/>
          <w:vertAlign w:val="superscript"/>
          <w:lang w:val="en-GB"/>
        </w:rPr>
        <w:t>15</w:t>
      </w:r>
      <w:r w:rsidRPr="00CE66BE">
        <w:rPr>
          <w:rFonts w:eastAsiaTheme="majorEastAsia" w:cstheme="minorHAnsi"/>
          <w:spacing w:val="-7"/>
          <w:sz w:val="20"/>
          <w:szCs w:val="20"/>
          <w:lang w:val="en-GB"/>
        </w:rPr>
        <w:t>Faculty of Medicine, Health &amp; Life Science, Swansea University, United Kingdom</w:t>
      </w:r>
    </w:p>
    <w:p w14:paraId="451558BC" w14:textId="6AB5D3F8" w:rsidR="00EA3756" w:rsidRPr="00CE66BE" w:rsidRDefault="00EA3756" w:rsidP="00754F3C">
      <w:pPr>
        <w:spacing w:after="0" w:line="240" w:lineRule="auto"/>
        <w:rPr>
          <w:rFonts w:eastAsiaTheme="majorEastAsia" w:cstheme="minorHAnsi"/>
          <w:spacing w:val="-7"/>
          <w:sz w:val="20"/>
          <w:szCs w:val="20"/>
          <w:lang w:val="en-GB"/>
        </w:rPr>
      </w:pPr>
      <w:r w:rsidRPr="00CE66BE">
        <w:rPr>
          <w:rFonts w:eastAsiaTheme="majorEastAsia" w:cstheme="minorHAnsi"/>
          <w:spacing w:val="-7"/>
          <w:sz w:val="20"/>
          <w:szCs w:val="20"/>
          <w:vertAlign w:val="superscript"/>
          <w:lang w:val="en-GB"/>
        </w:rPr>
        <w:t>16</w:t>
      </w:r>
      <w:r w:rsidRPr="00CE66BE">
        <w:rPr>
          <w:rFonts w:eastAsiaTheme="majorEastAsia" w:cstheme="minorHAnsi"/>
          <w:spacing w:val="-7"/>
          <w:sz w:val="20"/>
          <w:szCs w:val="20"/>
          <w:lang w:val="en-GB"/>
        </w:rPr>
        <w:t>Université de Paris, CRESS-</w:t>
      </w:r>
      <w:proofErr w:type="spellStart"/>
      <w:r w:rsidRPr="00CE66BE">
        <w:rPr>
          <w:rFonts w:eastAsiaTheme="majorEastAsia" w:cstheme="minorHAnsi"/>
          <w:spacing w:val="-7"/>
          <w:sz w:val="20"/>
          <w:szCs w:val="20"/>
          <w:lang w:val="en-GB"/>
        </w:rPr>
        <w:t>Epopé</w:t>
      </w:r>
      <w:proofErr w:type="spellEnd"/>
      <w:r w:rsidRPr="00CE66BE">
        <w:rPr>
          <w:rFonts w:eastAsiaTheme="majorEastAsia" w:cstheme="minorHAnsi"/>
          <w:spacing w:val="-7"/>
          <w:sz w:val="20"/>
          <w:szCs w:val="20"/>
          <w:lang w:val="en-GB"/>
        </w:rPr>
        <w:t>, INSERM, INRA, Paris, France</w:t>
      </w:r>
    </w:p>
    <w:p w14:paraId="5C91D258" w14:textId="03F87748" w:rsidR="00EA3756" w:rsidRPr="00CE66BE" w:rsidRDefault="00EA3756" w:rsidP="00754F3C">
      <w:pPr>
        <w:spacing w:after="0" w:line="240" w:lineRule="auto"/>
        <w:rPr>
          <w:rFonts w:eastAsiaTheme="majorEastAsia" w:cstheme="minorHAnsi"/>
          <w:spacing w:val="-7"/>
          <w:sz w:val="20"/>
          <w:szCs w:val="20"/>
          <w:lang w:val="en-GB"/>
        </w:rPr>
      </w:pPr>
      <w:r w:rsidRPr="00CE66BE">
        <w:rPr>
          <w:rFonts w:eastAsiaTheme="majorEastAsia" w:cstheme="minorHAnsi"/>
          <w:spacing w:val="-7"/>
          <w:sz w:val="20"/>
          <w:szCs w:val="20"/>
          <w:vertAlign w:val="superscript"/>
          <w:lang w:val="en-GB"/>
        </w:rPr>
        <w:t>17</w:t>
      </w:r>
      <w:r w:rsidRPr="00CE66BE">
        <w:rPr>
          <w:rFonts w:eastAsiaTheme="majorEastAsia" w:cstheme="minorHAnsi"/>
          <w:spacing w:val="-7"/>
          <w:sz w:val="20"/>
          <w:szCs w:val="20"/>
          <w:lang w:val="en-GB"/>
        </w:rPr>
        <w:t>Department of Global Public Health and Primary Care, University of Bergen, Norway</w:t>
      </w:r>
    </w:p>
    <w:p w14:paraId="6E04B196" w14:textId="07429498" w:rsidR="00EA3756" w:rsidRPr="00CE66BE" w:rsidRDefault="00B04F34" w:rsidP="00754F3C">
      <w:pPr>
        <w:spacing w:after="0" w:line="240" w:lineRule="auto"/>
        <w:rPr>
          <w:rFonts w:eastAsiaTheme="majorEastAsia" w:cstheme="minorHAnsi"/>
          <w:spacing w:val="-7"/>
          <w:sz w:val="20"/>
          <w:szCs w:val="20"/>
          <w:lang w:val="en-GB"/>
        </w:rPr>
      </w:pPr>
      <w:r w:rsidRPr="00CE66BE">
        <w:rPr>
          <w:rFonts w:eastAsiaTheme="majorEastAsia" w:cstheme="minorHAnsi"/>
          <w:spacing w:val="-7"/>
          <w:sz w:val="20"/>
          <w:szCs w:val="20"/>
          <w:vertAlign w:val="superscript"/>
          <w:lang w:val="en-GB"/>
        </w:rPr>
        <w:t>18</w:t>
      </w:r>
      <w:r w:rsidRPr="00CE66BE">
        <w:rPr>
          <w:rFonts w:eastAsiaTheme="majorEastAsia" w:cstheme="minorHAnsi"/>
          <w:spacing w:val="-7"/>
          <w:sz w:val="20"/>
          <w:szCs w:val="20"/>
          <w:lang w:val="en-GB"/>
        </w:rPr>
        <w:t>Division of Mental and Physical Health, Norwegian Institute of Public Health, Bergen, Norway</w:t>
      </w:r>
    </w:p>
    <w:p w14:paraId="42D1B76F" w14:textId="77777777" w:rsidR="003A398B" w:rsidRPr="00CE66BE" w:rsidRDefault="003A398B" w:rsidP="00754F3C">
      <w:pPr>
        <w:spacing w:after="0" w:line="240" w:lineRule="auto"/>
        <w:rPr>
          <w:rFonts w:eastAsiaTheme="majorEastAsia" w:cstheme="minorHAnsi"/>
          <w:spacing w:val="-7"/>
          <w:sz w:val="20"/>
          <w:szCs w:val="20"/>
          <w:lang w:val="en-GB"/>
        </w:rPr>
      </w:pPr>
      <w:r w:rsidRPr="00CE66BE">
        <w:rPr>
          <w:rFonts w:eastAsiaTheme="majorEastAsia" w:cstheme="minorHAnsi"/>
          <w:spacing w:val="-7"/>
          <w:sz w:val="20"/>
          <w:szCs w:val="20"/>
          <w:vertAlign w:val="superscript"/>
          <w:lang w:val="en-GB"/>
        </w:rPr>
        <w:t>19</w:t>
      </w:r>
      <w:r w:rsidRPr="00CE66BE">
        <w:rPr>
          <w:rFonts w:eastAsiaTheme="majorEastAsia" w:cstheme="minorHAnsi"/>
          <w:spacing w:val="-7"/>
          <w:sz w:val="20"/>
          <w:szCs w:val="20"/>
          <w:lang w:val="en-GB"/>
        </w:rPr>
        <w:t xml:space="preserve">Imer registry Centre for epidemiology and clinical research university of Ferrara and </w:t>
      </w:r>
      <w:proofErr w:type="spellStart"/>
      <w:r w:rsidRPr="00CE66BE">
        <w:rPr>
          <w:rFonts w:eastAsiaTheme="majorEastAsia" w:cstheme="minorHAnsi"/>
          <w:spacing w:val="-7"/>
          <w:sz w:val="20"/>
          <w:szCs w:val="20"/>
          <w:lang w:val="en-GB"/>
        </w:rPr>
        <w:t>Azienda</w:t>
      </w:r>
      <w:proofErr w:type="spellEnd"/>
      <w:r w:rsidRPr="00CE66BE">
        <w:rPr>
          <w:rFonts w:eastAsiaTheme="majorEastAsia" w:cstheme="minorHAnsi"/>
          <w:spacing w:val="-7"/>
          <w:sz w:val="20"/>
          <w:szCs w:val="20"/>
          <w:lang w:val="en-GB"/>
        </w:rPr>
        <w:t xml:space="preserve"> </w:t>
      </w:r>
      <w:proofErr w:type="spellStart"/>
      <w:r w:rsidRPr="00CE66BE">
        <w:rPr>
          <w:rFonts w:eastAsiaTheme="majorEastAsia" w:cstheme="minorHAnsi"/>
          <w:spacing w:val="-7"/>
          <w:sz w:val="20"/>
          <w:szCs w:val="20"/>
          <w:lang w:val="en-GB"/>
        </w:rPr>
        <w:t>Ospedaliera</w:t>
      </w:r>
      <w:proofErr w:type="spellEnd"/>
      <w:r w:rsidRPr="00CE66BE">
        <w:rPr>
          <w:rFonts w:eastAsiaTheme="majorEastAsia" w:cstheme="minorHAnsi"/>
          <w:spacing w:val="-7"/>
          <w:sz w:val="20"/>
          <w:szCs w:val="20"/>
          <w:lang w:val="en-GB"/>
        </w:rPr>
        <w:t xml:space="preserve"> </w:t>
      </w:r>
      <w:proofErr w:type="spellStart"/>
      <w:r w:rsidRPr="00CE66BE">
        <w:rPr>
          <w:rFonts w:eastAsiaTheme="majorEastAsia" w:cstheme="minorHAnsi"/>
          <w:spacing w:val="-7"/>
          <w:sz w:val="20"/>
          <w:szCs w:val="20"/>
          <w:lang w:val="en-GB"/>
        </w:rPr>
        <w:t>Universitaria</w:t>
      </w:r>
      <w:proofErr w:type="spellEnd"/>
      <w:r w:rsidRPr="00CE66BE">
        <w:rPr>
          <w:rFonts w:eastAsiaTheme="majorEastAsia" w:cstheme="minorHAnsi"/>
          <w:spacing w:val="-7"/>
          <w:sz w:val="20"/>
          <w:szCs w:val="20"/>
          <w:lang w:val="en-GB"/>
        </w:rPr>
        <w:t xml:space="preserve"> di Ferrara, Italy</w:t>
      </w:r>
    </w:p>
    <w:p w14:paraId="30D018D9" w14:textId="6F07C936" w:rsidR="00B04F34" w:rsidRPr="00CE66BE" w:rsidRDefault="003A398B" w:rsidP="00754F3C">
      <w:pPr>
        <w:spacing w:after="0" w:line="240" w:lineRule="auto"/>
        <w:rPr>
          <w:rFonts w:eastAsiaTheme="majorEastAsia" w:cstheme="minorHAnsi"/>
          <w:spacing w:val="-7"/>
          <w:sz w:val="20"/>
          <w:szCs w:val="20"/>
          <w:lang w:val="en-GB"/>
        </w:rPr>
      </w:pPr>
      <w:r w:rsidRPr="00CE66BE">
        <w:rPr>
          <w:rFonts w:eastAsiaTheme="majorEastAsia" w:cstheme="minorHAnsi"/>
          <w:spacing w:val="-7"/>
          <w:sz w:val="20"/>
          <w:szCs w:val="20"/>
          <w:vertAlign w:val="superscript"/>
          <w:lang w:val="en-GB"/>
        </w:rPr>
        <w:t>20</w:t>
      </w:r>
      <w:r w:rsidR="00B04F34" w:rsidRPr="00CE66BE">
        <w:rPr>
          <w:rFonts w:eastAsiaTheme="majorEastAsia" w:cstheme="minorHAnsi"/>
          <w:spacing w:val="-7"/>
          <w:sz w:val="20"/>
          <w:szCs w:val="20"/>
          <w:lang w:val="en-GB"/>
        </w:rPr>
        <w:t>Malformation Monitoring Centre Saxony-Anhalt, Medical Faculty Otto-von-Guericke-University Magdeburg, Magdeburg, Germany</w:t>
      </w:r>
    </w:p>
    <w:p w14:paraId="5BA4DC78" w14:textId="29F6A94C" w:rsidR="00B04F34" w:rsidRPr="00CE66BE" w:rsidRDefault="00B04F34" w:rsidP="00754F3C">
      <w:pPr>
        <w:spacing w:after="0" w:line="240" w:lineRule="auto"/>
        <w:rPr>
          <w:rFonts w:eastAsiaTheme="majorEastAsia" w:cstheme="minorHAnsi"/>
          <w:spacing w:val="-7"/>
          <w:sz w:val="20"/>
          <w:szCs w:val="20"/>
          <w:lang w:val="en-GB"/>
        </w:rPr>
      </w:pPr>
      <w:r w:rsidRPr="00CE66BE">
        <w:rPr>
          <w:rFonts w:eastAsiaTheme="majorEastAsia" w:cstheme="minorHAnsi"/>
          <w:spacing w:val="-7"/>
          <w:sz w:val="20"/>
          <w:szCs w:val="20"/>
          <w:vertAlign w:val="superscript"/>
          <w:lang w:val="en-GB"/>
        </w:rPr>
        <w:t>2</w:t>
      </w:r>
      <w:r w:rsidR="003A398B" w:rsidRPr="00CE66BE">
        <w:rPr>
          <w:rFonts w:eastAsiaTheme="majorEastAsia" w:cstheme="minorHAnsi"/>
          <w:spacing w:val="-7"/>
          <w:sz w:val="20"/>
          <w:szCs w:val="20"/>
          <w:vertAlign w:val="superscript"/>
          <w:lang w:val="en-GB"/>
        </w:rPr>
        <w:t>1</w:t>
      </w:r>
      <w:r w:rsidRPr="00CE66BE">
        <w:rPr>
          <w:rFonts w:eastAsiaTheme="majorEastAsia" w:cstheme="minorHAnsi"/>
          <w:spacing w:val="-7"/>
          <w:sz w:val="20"/>
          <w:szCs w:val="20"/>
          <w:lang w:val="en-GB"/>
        </w:rPr>
        <w:t>Faculty of Medicine, University of Southampton and Wessex Clinical Genetics Service, Princess Anne Hospital, Southampton SO16 5YA, United Kingdom</w:t>
      </w:r>
    </w:p>
    <w:p w14:paraId="1C2119DC" w14:textId="3D92B4AF" w:rsidR="00B04F34" w:rsidRPr="00CE66BE" w:rsidRDefault="00B04F34" w:rsidP="00754F3C">
      <w:pPr>
        <w:spacing w:after="0" w:line="240" w:lineRule="auto"/>
        <w:rPr>
          <w:rFonts w:eastAsiaTheme="majorEastAsia" w:cstheme="minorHAnsi"/>
          <w:spacing w:val="-7"/>
          <w:sz w:val="20"/>
          <w:szCs w:val="20"/>
          <w:lang w:val="en-GB"/>
        </w:rPr>
      </w:pPr>
      <w:r w:rsidRPr="00CE66BE">
        <w:rPr>
          <w:rFonts w:eastAsiaTheme="majorEastAsia" w:cstheme="minorHAnsi"/>
          <w:spacing w:val="-7"/>
          <w:sz w:val="20"/>
          <w:szCs w:val="20"/>
          <w:vertAlign w:val="superscript"/>
          <w:lang w:val="en-GB"/>
        </w:rPr>
        <w:t>2</w:t>
      </w:r>
      <w:r w:rsidR="003A398B" w:rsidRPr="00CE66BE">
        <w:rPr>
          <w:rFonts w:eastAsiaTheme="majorEastAsia" w:cstheme="minorHAnsi"/>
          <w:spacing w:val="-7"/>
          <w:sz w:val="20"/>
          <w:szCs w:val="20"/>
          <w:vertAlign w:val="superscript"/>
          <w:lang w:val="en-GB"/>
        </w:rPr>
        <w:t>2</w:t>
      </w:r>
      <w:r w:rsidRPr="00CE66BE">
        <w:rPr>
          <w:rFonts w:eastAsiaTheme="majorEastAsia" w:cstheme="minorHAnsi"/>
          <w:spacing w:val="-7"/>
          <w:sz w:val="20"/>
          <w:szCs w:val="20"/>
          <w:lang w:val="en-GB"/>
        </w:rPr>
        <w:t>OMNI-Net for Children International Charitable Fund, Rivne, Ukraine</w:t>
      </w:r>
    </w:p>
    <w:p w14:paraId="68851359" w14:textId="77777777" w:rsidR="00B04F34" w:rsidRDefault="00B04F34" w:rsidP="00754F3C">
      <w:pPr>
        <w:spacing w:after="0" w:line="240" w:lineRule="auto"/>
        <w:rPr>
          <w:rFonts w:ascii="Times New Roman" w:eastAsiaTheme="majorEastAsia" w:hAnsi="Times New Roman" w:cs="Times New Roman"/>
          <w:spacing w:val="-7"/>
          <w:sz w:val="20"/>
          <w:szCs w:val="20"/>
          <w:lang w:val="en-GB"/>
        </w:rPr>
      </w:pPr>
    </w:p>
    <w:p w14:paraId="502A95F6" w14:textId="77777777" w:rsidR="00B04F34" w:rsidRPr="00B04F34" w:rsidRDefault="00B04F34" w:rsidP="00754F3C">
      <w:pPr>
        <w:spacing w:after="0" w:line="240" w:lineRule="auto"/>
        <w:rPr>
          <w:rFonts w:ascii="Times New Roman" w:eastAsiaTheme="majorEastAsia" w:hAnsi="Times New Roman" w:cs="Times New Roman"/>
          <w:spacing w:val="-7"/>
          <w:sz w:val="20"/>
          <w:szCs w:val="20"/>
          <w:lang w:val="en-GB"/>
        </w:rPr>
      </w:pPr>
    </w:p>
    <w:p w14:paraId="620FE3D3" w14:textId="77777777" w:rsidR="00672B69" w:rsidRPr="00CE66BE" w:rsidRDefault="00672B69" w:rsidP="00754F3C">
      <w:pPr>
        <w:spacing w:after="0" w:line="240" w:lineRule="auto"/>
        <w:rPr>
          <w:rFonts w:eastAsiaTheme="majorEastAsia" w:cstheme="minorHAnsi"/>
          <w:b/>
          <w:spacing w:val="-7"/>
          <w:sz w:val="24"/>
          <w:szCs w:val="24"/>
          <w:lang w:val="en-GB"/>
        </w:rPr>
      </w:pPr>
      <w:r w:rsidRPr="00CE66BE">
        <w:rPr>
          <w:rFonts w:eastAsiaTheme="majorEastAsia" w:cstheme="minorHAnsi"/>
          <w:b/>
          <w:spacing w:val="-7"/>
          <w:sz w:val="24"/>
          <w:szCs w:val="24"/>
          <w:lang w:val="en-GB"/>
        </w:rPr>
        <w:t xml:space="preserve">Corresponding Author: </w:t>
      </w:r>
    </w:p>
    <w:p w14:paraId="0CC8891B" w14:textId="3470AFAA" w:rsidR="00672B69" w:rsidRPr="00CE66BE" w:rsidRDefault="00672B69" w:rsidP="00754F3C">
      <w:pPr>
        <w:spacing w:after="0" w:line="240" w:lineRule="auto"/>
        <w:rPr>
          <w:rFonts w:eastAsiaTheme="majorEastAsia" w:cstheme="minorHAnsi"/>
          <w:spacing w:val="-7"/>
          <w:sz w:val="24"/>
          <w:szCs w:val="24"/>
          <w:lang w:val="en-GB"/>
        </w:rPr>
      </w:pPr>
      <w:r w:rsidRPr="00CE66BE">
        <w:rPr>
          <w:rFonts w:eastAsiaTheme="majorEastAsia" w:cstheme="minorHAnsi"/>
          <w:spacing w:val="-7"/>
          <w:sz w:val="24"/>
          <w:szCs w:val="24"/>
          <w:lang w:val="en-GB"/>
        </w:rPr>
        <w:t>Michele Santoro</w:t>
      </w:r>
    </w:p>
    <w:p w14:paraId="0440838A" w14:textId="77777777" w:rsidR="00672B69" w:rsidRPr="00CE66BE" w:rsidRDefault="00672B69" w:rsidP="00754F3C">
      <w:pPr>
        <w:spacing w:after="0" w:line="240" w:lineRule="auto"/>
        <w:rPr>
          <w:rFonts w:eastAsiaTheme="majorEastAsia" w:cstheme="minorHAnsi"/>
          <w:spacing w:val="-7"/>
          <w:sz w:val="24"/>
          <w:szCs w:val="24"/>
          <w:lang w:val="en-GB"/>
        </w:rPr>
      </w:pPr>
      <w:r w:rsidRPr="00CE66BE">
        <w:rPr>
          <w:rFonts w:eastAsiaTheme="majorEastAsia" w:cstheme="minorHAnsi"/>
          <w:spacing w:val="-7"/>
          <w:sz w:val="24"/>
          <w:szCs w:val="24"/>
          <w:lang w:val="en-GB"/>
        </w:rPr>
        <w:t>Unit of Epidemiology of Rare diseases and Congenital anomalies, Institute of Clinical Physiology, National Research Council, Pisa, Italy</w:t>
      </w:r>
    </w:p>
    <w:p w14:paraId="20A64BFD" w14:textId="69216359" w:rsidR="00B9140B" w:rsidRPr="00CE66BE" w:rsidRDefault="00672B69" w:rsidP="00754F3C">
      <w:pPr>
        <w:spacing w:after="0" w:line="240" w:lineRule="auto"/>
        <w:rPr>
          <w:rFonts w:eastAsiaTheme="majorEastAsia" w:cstheme="minorHAnsi"/>
          <w:spacing w:val="-7"/>
          <w:sz w:val="24"/>
          <w:szCs w:val="24"/>
          <w:lang w:val="en-GB"/>
        </w:rPr>
      </w:pPr>
      <w:proofErr w:type="gramStart"/>
      <w:r w:rsidRPr="00CE66BE">
        <w:rPr>
          <w:rFonts w:eastAsiaTheme="majorEastAsia" w:cstheme="minorHAnsi"/>
          <w:spacing w:val="-7"/>
          <w:sz w:val="24"/>
          <w:szCs w:val="24"/>
          <w:lang w:val="en-GB"/>
        </w:rPr>
        <w:t>e-mail</w:t>
      </w:r>
      <w:proofErr w:type="gramEnd"/>
      <w:r w:rsidRPr="00CE66BE">
        <w:rPr>
          <w:rFonts w:eastAsiaTheme="majorEastAsia" w:cstheme="minorHAnsi"/>
          <w:spacing w:val="-7"/>
          <w:sz w:val="24"/>
          <w:szCs w:val="24"/>
          <w:lang w:val="en-GB"/>
        </w:rPr>
        <w:t xml:space="preserve"> address: </w:t>
      </w:r>
      <w:r w:rsidR="00F76F06" w:rsidRPr="00851CDC">
        <w:rPr>
          <w:rFonts w:eastAsiaTheme="majorEastAsia" w:cstheme="minorHAnsi"/>
          <w:spacing w:val="-7"/>
          <w:sz w:val="24"/>
          <w:szCs w:val="24"/>
          <w:lang w:val="en-GB"/>
        </w:rPr>
        <w:t>michele.santoro@ifc.cnr.it</w:t>
      </w:r>
    </w:p>
    <w:p w14:paraId="5190A12F" w14:textId="77777777" w:rsidR="00F76F06" w:rsidRPr="00CE66BE" w:rsidRDefault="00F76F06" w:rsidP="00754F3C">
      <w:pPr>
        <w:spacing w:after="0" w:line="240" w:lineRule="auto"/>
        <w:rPr>
          <w:rFonts w:eastAsiaTheme="majorEastAsia" w:cstheme="minorHAnsi"/>
          <w:spacing w:val="-7"/>
          <w:sz w:val="24"/>
          <w:szCs w:val="24"/>
          <w:lang w:val="en-GB"/>
        </w:rPr>
      </w:pPr>
    </w:p>
    <w:p w14:paraId="5AAA673F" w14:textId="77777777" w:rsidR="00DA22CF" w:rsidRPr="00CE66BE" w:rsidRDefault="00DA22CF" w:rsidP="00754F3C">
      <w:pPr>
        <w:spacing w:after="0" w:line="240" w:lineRule="auto"/>
        <w:rPr>
          <w:rFonts w:eastAsiaTheme="majorEastAsia" w:cstheme="minorHAnsi"/>
          <w:spacing w:val="-7"/>
          <w:sz w:val="24"/>
          <w:szCs w:val="24"/>
          <w:lang w:val="en-GB"/>
        </w:rPr>
      </w:pPr>
    </w:p>
    <w:p w14:paraId="0EA9AFCC" w14:textId="77777777" w:rsidR="000A280A" w:rsidRDefault="000A280A">
      <w:pPr>
        <w:rPr>
          <w:rFonts w:eastAsiaTheme="majorEastAsia" w:cstheme="minorHAnsi"/>
          <w:spacing w:val="-7"/>
          <w:sz w:val="20"/>
          <w:szCs w:val="20"/>
          <w:lang w:val="en-GB"/>
        </w:rPr>
      </w:pPr>
      <w:r>
        <w:rPr>
          <w:rFonts w:eastAsiaTheme="majorEastAsia" w:cstheme="minorHAnsi"/>
          <w:spacing w:val="-7"/>
          <w:sz w:val="20"/>
          <w:szCs w:val="20"/>
          <w:lang w:val="en-GB"/>
        </w:rPr>
        <w:br w:type="page"/>
      </w:r>
    </w:p>
    <w:p w14:paraId="25C5828B" w14:textId="77777777" w:rsidR="000A280A" w:rsidRDefault="000A280A" w:rsidP="000A280A">
      <w:pPr>
        <w:jc w:val="both"/>
        <w:rPr>
          <w:rStyle w:val="Enfasigrassetto"/>
          <w:rFonts w:cstheme="minorHAnsi"/>
          <w:sz w:val="24"/>
          <w:szCs w:val="24"/>
          <w:lang w:val="en-GB"/>
        </w:rPr>
      </w:pPr>
      <w:r>
        <w:rPr>
          <w:rStyle w:val="Enfasigrassetto"/>
          <w:rFonts w:cstheme="minorHAnsi"/>
          <w:sz w:val="24"/>
          <w:szCs w:val="24"/>
          <w:lang w:val="en-GB"/>
        </w:rPr>
        <w:lastRenderedPageBreak/>
        <w:t>SYNOPSIS</w:t>
      </w:r>
    </w:p>
    <w:p w14:paraId="252DDC0D" w14:textId="77777777" w:rsidR="000A280A" w:rsidRDefault="000A280A" w:rsidP="000A280A">
      <w:pPr>
        <w:jc w:val="both"/>
        <w:rPr>
          <w:rStyle w:val="Enfasigrassetto"/>
          <w:rFonts w:cstheme="minorHAnsi"/>
          <w:sz w:val="24"/>
          <w:szCs w:val="24"/>
          <w:lang w:val="en-GB"/>
        </w:rPr>
      </w:pPr>
    </w:p>
    <w:p w14:paraId="6B5F921F" w14:textId="77777777" w:rsidR="000A280A" w:rsidRDefault="000A280A" w:rsidP="000A280A">
      <w:pPr>
        <w:autoSpaceDE w:val="0"/>
        <w:autoSpaceDN w:val="0"/>
        <w:adjustRightInd w:val="0"/>
        <w:spacing w:after="0" w:line="480" w:lineRule="auto"/>
        <w:jc w:val="both"/>
        <w:rPr>
          <w:rFonts w:cstheme="minorHAnsi"/>
          <w:b/>
          <w:bCs/>
          <w:sz w:val="24"/>
          <w:szCs w:val="24"/>
          <w:lang w:val="en-GB"/>
        </w:rPr>
      </w:pPr>
      <w:r w:rsidRPr="0086363C">
        <w:rPr>
          <w:rFonts w:cstheme="minorHAnsi"/>
          <w:b/>
          <w:bCs/>
          <w:sz w:val="24"/>
          <w:szCs w:val="24"/>
          <w:lang w:val="en-GB"/>
        </w:rPr>
        <w:t>Study question</w:t>
      </w:r>
      <w:r>
        <w:rPr>
          <w:rFonts w:cstheme="minorHAnsi"/>
          <w:b/>
          <w:bCs/>
          <w:sz w:val="24"/>
          <w:szCs w:val="24"/>
          <w:lang w:val="en-GB"/>
        </w:rPr>
        <w:t>s</w:t>
      </w:r>
    </w:p>
    <w:p w14:paraId="4C75A054" w14:textId="77777777" w:rsidR="000A280A" w:rsidRPr="00A924B2" w:rsidRDefault="000A280A" w:rsidP="000A280A">
      <w:pPr>
        <w:autoSpaceDE w:val="0"/>
        <w:autoSpaceDN w:val="0"/>
        <w:adjustRightInd w:val="0"/>
        <w:spacing w:after="0" w:line="480" w:lineRule="auto"/>
        <w:jc w:val="both"/>
        <w:rPr>
          <w:rFonts w:cstheme="minorHAnsi"/>
          <w:bCs/>
          <w:sz w:val="24"/>
          <w:szCs w:val="24"/>
          <w:lang w:val="en-GB"/>
        </w:rPr>
      </w:pPr>
      <w:r w:rsidRPr="00A924B2">
        <w:rPr>
          <w:rFonts w:cstheme="minorHAnsi"/>
          <w:bCs/>
          <w:sz w:val="24"/>
          <w:szCs w:val="24"/>
          <w:lang w:val="en-GB"/>
        </w:rPr>
        <w:t xml:space="preserve">Is the </w:t>
      </w:r>
      <w:r>
        <w:rPr>
          <w:rFonts w:cstheme="minorHAnsi"/>
          <w:bCs/>
          <w:sz w:val="24"/>
          <w:szCs w:val="24"/>
          <w:lang w:val="en-GB"/>
        </w:rPr>
        <w:t>survival</w:t>
      </w:r>
      <w:r w:rsidRPr="00A924B2">
        <w:rPr>
          <w:rFonts w:cstheme="minorHAnsi"/>
          <w:bCs/>
          <w:sz w:val="24"/>
          <w:szCs w:val="24"/>
          <w:lang w:val="en-GB"/>
        </w:rPr>
        <w:t xml:space="preserve"> of children born with congenital anomalies</w:t>
      </w:r>
      <w:r>
        <w:rPr>
          <w:rFonts w:cstheme="minorHAnsi"/>
          <w:bCs/>
          <w:sz w:val="24"/>
          <w:szCs w:val="24"/>
          <w:lang w:val="en-GB"/>
        </w:rPr>
        <w:t xml:space="preserve"> (CAs)</w:t>
      </w:r>
      <w:r w:rsidRPr="00A924B2">
        <w:rPr>
          <w:rFonts w:cstheme="minorHAnsi"/>
          <w:bCs/>
          <w:sz w:val="24"/>
          <w:szCs w:val="24"/>
          <w:lang w:val="en-GB"/>
        </w:rPr>
        <w:t xml:space="preserve"> </w:t>
      </w:r>
      <w:r>
        <w:rPr>
          <w:rFonts w:cstheme="minorHAnsi"/>
          <w:bCs/>
          <w:sz w:val="24"/>
          <w:szCs w:val="24"/>
          <w:lang w:val="en-GB"/>
        </w:rPr>
        <w:t>improving</w:t>
      </w:r>
      <w:r w:rsidRPr="00A924B2">
        <w:rPr>
          <w:rFonts w:cstheme="minorHAnsi"/>
          <w:bCs/>
          <w:sz w:val="24"/>
          <w:szCs w:val="24"/>
          <w:lang w:val="en-GB"/>
        </w:rPr>
        <w:t xml:space="preserve">? Are there geographical differences </w:t>
      </w:r>
      <w:r w:rsidRPr="00A924B2">
        <w:rPr>
          <w:rFonts w:cstheme="minorHAnsi"/>
          <w:sz w:val="24"/>
          <w:szCs w:val="24"/>
          <w:lang w:val="en-GB"/>
        </w:rPr>
        <w:t xml:space="preserve">in survival of children born with </w:t>
      </w:r>
      <w:r>
        <w:rPr>
          <w:rFonts w:cstheme="minorHAnsi"/>
          <w:bCs/>
          <w:sz w:val="24"/>
          <w:szCs w:val="24"/>
          <w:lang w:val="en-GB"/>
        </w:rPr>
        <w:t>CAs</w:t>
      </w:r>
      <w:r w:rsidRPr="00A924B2">
        <w:rPr>
          <w:rFonts w:cstheme="minorHAnsi"/>
          <w:sz w:val="24"/>
          <w:szCs w:val="24"/>
          <w:lang w:val="en-GB"/>
        </w:rPr>
        <w:t xml:space="preserve"> in Europe</w:t>
      </w:r>
      <w:r>
        <w:rPr>
          <w:rFonts w:cstheme="minorHAnsi"/>
          <w:sz w:val="24"/>
          <w:szCs w:val="24"/>
          <w:lang w:val="en-GB"/>
        </w:rPr>
        <w:t>?</w:t>
      </w:r>
    </w:p>
    <w:p w14:paraId="5794941A" w14:textId="77777777" w:rsidR="000A280A" w:rsidRDefault="000A280A" w:rsidP="000A280A">
      <w:pPr>
        <w:spacing w:after="0" w:line="480" w:lineRule="auto"/>
        <w:jc w:val="both"/>
        <w:rPr>
          <w:rStyle w:val="Enfasigrassetto"/>
          <w:rFonts w:cstheme="minorHAnsi"/>
          <w:lang w:val="en-GB"/>
        </w:rPr>
      </w:pPr>
    </w:p>
    <w:p w14:paraId="7A027E43" w14:textId="77777777" w:rsidR="000A280A" w:rsidRDefault="000A280A" w:rsidP="000A280A">
      <w:pPr>
        <w:spacing w:after="0" w:line="480" w:lineRule="auto"/>
        <w:jc w:val="both"/>
        <w:rPr>
          <w:rStyle w:val="Enfasigrassetto"/>
          <w:rFonts w:cstheme="minorHAnsi"/>
          <w:sz w:val="24"/>
          <w:szCs w:val="24"/>
          <w:lang w:val="en-GB"/>
        </w:rPr>
      </w:pPr>
      <w:r>
        <w:rPr>
          <w:rStyle w:val="Enfasigrassetto"/>
          <w:rFonts w:cstheme="minorHAnsi"/>
          <w:sz w:val="24"/>
          <w:szCs w:val="24"/>
          <w:lang w:val="en-GB"/>
        </w:rPr>
        <w:t xml:space="preserve">What’s already </w:t>
      </w:r>
      <w:proofErr w:type="gramStart"/>
      <w:r>
        <w:rPr>
          <w:rStyle w:val="Enfasigrassetto"/>
          <w:rFonts w:cstheme="minorHAnsi"/>
          <w:sz w:val="24"/>
          <w:szCs w:val="24"/>
          <w:lang w:val="en-GB"/>
        </w:rPr>
        <w:t>known</w:t>
      </w:r>
      <w:proofErr w:type="gramEnd"/>
    </w:p>
    <w:p w14:paraId="4CB2C1DB" w14:textId="77777777" w:rsidR="000A280A" w:rsidRPr="00A924B2" w:rsidRDefault="000A280A" w:rsidP="000A280A">
      <w:pPr>
        <w:spacing w:after="0" w:line="480" w:lineRule="auto"/>
        <w:jc w:val="both"/>
        <w:rPr>
          <w:rStyle w:val="Enfasigrassetto"/>
          <w:rFonts w:cstheme="minorHAnsi"/>
          <w:b w:val="0"/>
          <w:sz w:val="24"/>
          <w:szCs w:val="24"/>
          <w:lang w:val="en-GB"/>
        </w:rPr>
      </w:pPr>
      <w:r>
        <w:rPr>
          <w:rFonts w:cstheme="minorHAnsi"/>
          <w:bCs/>
          <w:sz w:val="24"/>
          <w:szCs w:val="24"/>
          <w:lang w:val="en-GB"/>
        </w:rPr>
        <w:t>CAs</w:t>
      </w:r>
      <w:r w:rsidRPr="001C1F2A">
        <w:rPr>
          <w:rStyle w:val="Enfasigrassetto"/>
          <w:rFonts w:cstheme="minorHAnsi"/>
          <w:b w:val="0"/>
          <w:sz w:val="24"/>
          <w:szCs w:val="24"/>
          <w:lang w:val="en-GB"/>
        </w:rPr>
        <w:t xml:space="preserve"> are a major cause of perinatal, neonatal</w:t>
      </w:r>
      <w:r>
        <w:rPr>
          <w:rStyle w:val="Enfasigrassetto"/>
          <w:rFonts w:cstheme="minorHAnsi"/>
          <w:b w:val="0"/>
          <w:sz w:val="24"/>
          <w:szCs w:val="24"/>
          <w:lang w:val="en-GB"/>
        </w:rPr>
        <w:t xml:space="preserve"> and infant mortality worldwide.</w:t>
      </w:r>
      <w:r w:rsidRPr="001C1F2A">
        <w:rPr>
          <w:rStyle w:val="Enfasigrassetto"/>
          <w:rFonts w:cstheme="minorHAnsi"/>
          <w:b w:val="0"/>
          <w:sz w:val="24"/>
          <w:szCs w:val="24"/>
          <w:lang w:val="en-GB"/>
        </w:rPr>
        <w:t xml:space="preserve"> </w:t>
      </w:r>
      <w:r w:rsidRPr="00A924B2">
        <w:rPr>
          <w:rStyle w:val="Enfasigrassetto"/>
          <w:rFonts w:cstheme="minorHAnsi"/>
          <w:b w:val="0"/>
          <w:sz w:val="24"/>
          <w:szCs w:val="24"/>
          <w:lang w:val="en-GB"/>
        </w:rPr>
        <w:t xml:space="preserve">In Europe, deaths with a </w:t>
      </w:r>
      <w:r>
        <w:rPr>
          <w:rFonts w:cstheme="minorHAnsi"/>
          <w:bCs/>
          <w:sz w:val="24"/>
          <w:szCs w:val="24"/>
          <w:lang w:val="en-GB"/>
        </w:rPr>
        <w:t>CA</w:t>
      </w:r>
      <w:r w:rsidRPr="00A924B2">
        <w:rPr>
          <w:rStyle w:val="Enfasigrassetto"/>
          <w:rFonts w:cstheme="minorHAnsi"/>
          <w:b w:val="0"/>
          <w:sz w:val="24"/>
          <w:szCs w:val="24"/>
          <w:lang w:val="en-GB"/>
        </w:rPr>
        <w:t xml:space="preserve"> as the main cause are about 25% of all deaths of children aged less than 10 years</w:t>
      </w:r>
      <w:r>
        <w:rPr>
          <w:rStyle w:val="Enfasigrassetto"/>
          <w:rFonts w:cstheme="minorHAnsi"/>
          <w:b w:val="0"/>
          <w:sz w:val="24"/>
          <w:szCs w:val="24"/>
          <w:lang w:val="en-GB"/>
        </w:rPr>
        <w:t xml:space="preserve">. </w:t>
      </w:r>
      <w:r w:rsidRPr="00A924B2">
        <w:rPr>
          <w:rStyle w:val="Enfasigrassetto"/>
          <w:rFonts w:cstheme="minorHAnsi"/>
          <w:b w:val="0"/>
          <w:sz w:val="24"/>
          <w:szCs w:val="24"/>
          <w:lang w:val="en-GB"/>
        </w:rPr>
        <w:t xml:space="preserve">National statistics on the contribution of </w:t>
      </w:r>
      <w:r>
        <w:rPr>
          <w:rFonts w:cstheme="minorHAnsi"/>
          <w:bCs/>
          <w:sz w:val="24"/>
          <w:szCs w:val="24"/>
          <w:lang w:val="en-GB"/>
        </w:rPr>
        <w:t>CAs</w:t>
      </w:r>
      <w:r w:rsidRPr="00A924B2">
        <w:rPr>
          <w:rStyle w:val="Enfasigrassetto"/>
          <w:rFonts w:cstheme="minorHAnsi"/>
          <w:b w:val="0"/>
          <w:sz w:val="24"/>
          <w:szCs w:val="24"/>
          <w:lang w:val="en-GB"/>
        </w:rPr>
        <w:t xml:space="preserve"> to infant and child mortality are generally based on the analysis of the underlying cause of death from death certificates. However, for children with </w:t>
      </w:r>
      <w:r>
        <w:rPr>
          <w:rFonts w:cstheme="minorHAnsi"/>
          <w:bCs/>
          <w:sz w:val="24"/>
          <w:szCs w:val="24"/>
          <w:lang w:val="en-GB"/>
        </w:rPr>
        <w:t>CAs</w:t>
      </w:r>
      <w:r w:rsidRPr="00A924B2">
        <w:rPr>
          <w:rStyle w:val="Enfasigrassetto"/>
          <w:rFonts w:cstheme="minorHAnsi"/>
          <w:b w:val="0"/>
          <w:sz w:val="24"/>
          <w:szCs w:val="24"/>
          <w:lang w:val="en-GB"/>
        </w:rPr>
        <w:t xml:space="preserve">, the analysis of the underlying cause of death from death certificates underestimates the mortality risk due to </w:t>
      </w:r>
      <w:r>
        <w:rPr>
          <w:rFonts w:cstheme="minorHAnsi"/>
          <w:bCs/>
          <w:sz w:val="24"/>
          <w:szCs w:val="24"/>
          <w:lang w:val="en-GB"/>
        </w:rPr>
        <w:t>CA,</w:t>
      </w:r>
      <w:r>
        <w:rPr>
          <w:rStyle w:val="Enfasigrassetto"/>
          <w:rFonts w:cstheme="minorHAnsi"/>
          <w:b w:val="0"/>
          <w:sz w:val="24"/>
          <w:szCs w:val="24"/>
          <w:lang w:val="en-GB"/>
        </w:rPr>
        <w:t xml:space="preserve"> suggesting</w:t>
      </w:r>
      <w:r w:rsidRPr="00A924B2">
        <w:rPr>
          <w:rStyle w:val="Enfasigrassetto"/>
          <w:rFonts w:cstheme="minorHAnsi"/>
          <w:b w:val="0"/>
          <w:sz w:val="24"/>
          <w:szCs w:val="24"/>
          <w:lang w:val="en-GB"/>
        </w:rPr>
        <w:t xml:space="preserve"> that the most accurate way to analyse the mortality risk among children with </w:t>
      </w:r>
      <w:r>
        <w:rPr>
          <w:rFonts w:cstheme="minorHAnsi"/>
          <w:bCs/>
          <w:sz w:val="24"/>
          <w:szCs w:val="24"/>
          <w:lang w:val="en-GB"/>
        </w:rPr>
        <w:t>CAs</w:t>
      </w:r>
      <w:r w:rsidRPr="00A924B2">
        <w:rPr>
          <w:rStyle w:val="Enfasigrassetto"/>
          <w:rFonts w:cstheme="minorHAnsi"/>
          <w:b w:val="0"/>
          <w:sz w:val="24"/>
          <w:szCs w:val="24"/>
          <w:lang w:val="en-GB"/>
        </w:rPr>
        <w:t xml:space="preserve"> is to link births reported in </w:t>
      </w:r>
      <w:r>
        <w:rPr>
          <w:rFonts w:cstheme="minorHAnsi"/>
          <w:bCs/>
          <w:sz w:val="24"/>
          <w:szCs w:val="24"/>
          <w:lang w:val="en-GB"/>
        </w:rPr>
        <w:t>CA</w:t>
      </w:r>
      <w:r w:rsidRPr="00A924B2">
        <w:rPr>
          <w:rStyle w:val="Enfasigrassetto"/>
          <w:rFonts w:cstheme="minorHAnsi"/>
          <w:b w:val="0"/>
          <w:sz w:val="24"/>
          <w:szCs w:val="24"/>
          <w:lang w:val="en-GB"/>
        </w:rPr>
        <w:t xml:space="preserve"> registries to mortality data.</w:t>
      </w:r>
    </w:p>
    <w:p w14:paraId="00C3CF98" w14:textId="77777777" w:rsidR="000A280A" w:rsidRPr="00670710" w:rsidRDefault="000A280A" w:rsidP="000A280A">
      <w:pPr>
        <w:spacing w:after="0" w:line="480" w:lineRule="auto"/>
        <w:jc w:val="both"/>
        <w:rPr>
          <w:rStyle w:val="Enfasigrassetto"/>
          <w:rFonts w:cstheme="minorHAnsi"/>
          <w:sz w:val="24"/>
          <w:szCs w:val="24"/>
          <w:lang w:val="en-GB"/>
        </w:rPr>
      </w:pPr>
    </w:p>
    <w:p w14:paraId="72FFB64F" w14:textId="77777777" w:rsidR="000A280A" w:rsidRDefault="000A280A" w:rsidP="000A280A">
      <w:pPr>
        <w:spacing w:after="0" w:line="480" w:lineRule="auto"/>
        <w:jc w:val="both"/>
        <w:rPr>
          <w:rStyle w:val="Enfasigrassetto"/>
          <w:rFonts w:cstheme="minorHAnsi"/>
          <w:sz w:val="24"/>
          <w:szCs w:val="24"/>
          <w:lang w:val="en-GB"/>
        </w:rPr>
      </w:pPr>
      <w:r>
        <w:rPr>
          <w:rStyle w:val="Enfasigrassetto"/>
          <w:rFonts w:cstheme="minorHAnsi"/>
          <w:sz w:val="24"/>
          <w:szCs w:val="24"/>
          <w:lang w:val="en-GB"/>
        </w:rPr>
        <w:t>What this study adds</w:t>
      </w:r>
    </w:p>
    <w:p w14:paraId="5701E877" w14:textId="77777777" w:rsidR="000A280A" w:rsidRDefault="000A280A" w:rsidP="000A280A">
      <w:pPr>
        <w:spacing w:after="0" w:line="480" w:lineRule="auto"/>
        <w:jc w:val="both"/>
        <w:rPr>
          <w:rStyle w:val="Enfasigrassetto"/>
          <w:rFonts w:cstheme="minorHAnsi"/>
          <w:b w:val="0"/>
          <w:sz w:val="24"/>
          <w:szCs w:val="24"/>
          <w:lang w:val="en-GB"/>
        </w:rPr>
      </w:pPr>
      <w:r w:rsidRPr="00A924B2">
        <w:rPr>
          <w:rStyle w:val="Enfasigrassetto"/>
          <w:rFonts w:cstheme="minorHAnsi"/>
          <w:b w:val="0"/>
          <w:sz w:val="24"/>
          <w:szCs w:val="24"/>
          <w:lang w:val="en-GB"/>
        </w:rPr>
        <w:t>The linkage of congenital anomalies data from population-based registries to mortality records from national/vital statistics is an efficient and powerful method of analysing the survival of children born with CAs.</w:t>
      </w:r>
      <w:r>
        <w:rPr>
          <w:rStyle w:val="Enfasigrassetto"/>
          <w:rFonts w:cstheme="minorHAnsi"/>
          <w:b w:val="0"/>
          <w:sz w:val="24"/>
          <w:szCs w:val="24"/>
          <w:lang w:val="en-GB"/>
        </w:rPr>
        <w:t xml:space="preserve"> </w:t>
      </w:r>
      <w:r w:rsidRPr="00A924B2">
        <w:rPr>
          <w:rStyle w:val="Enfasigrassetto"/>
          <w:rFonts w:cstheme="minorHAnsi"/>
          <w:b w:val="0"/>
          <w:sz w:val="24"/>
          <w:szCs w:val="24"/>
          <w:lang w:val="en-GB"/>
        </w:rPr>
        <w:t xml:space="preserve">Caution must be taken in the interpretation of </w:t>
      </w:r>
      <w:r>
        <w:rPr>
          <w:rStyle w:val="Enfasigrassetto"/>
          <w:rFonts w:cstheme="minorHAnsi"/>
          <w:b w:val="0"/>
          <w:sz w:val="24"/>
          <w:szCs w:val="24"/>
          <w:lang w:val="en-GB"/>
        </w:rPr>
        <w:t>variations</w:t>
      </w:r>
      <w:r w:rsidRPr="00A924B2">
        <w:rPr>
          <w:rStyle w:val="Enfasigrassetto"/>
          <w:rFonts w:cstheme="minorHAnsi"/>
          <w:b w:val="0"/>
          <w:sz w:val="24"/>
          <w:szCs w:val="24"/>
          <w:lang w:val="en-GB"/>
        </w:rPr>
        <w:t xml:space="preserve"> in survival,</w:t>
      </w:r>
      <w:r>
        <w:rPr>
          <w:rStyle w:val="Enfasigrassetto"/>
          <w:rFonts w:cstheme="minorHAnsi"/>
          <w:b w:val="0"/>
          <w:sz w:val="24"/>
          <w:szCs w:val="24"/>
          <w:lang w:val="en-GB"/>
        </w:rPr>
        <w:t xml:space="preserve"> which</w:t>
      </w:r>
      <w:r w:rsidRPr="00A924B2">
        <w:rPr>
          <w:rStyle w:val="Enfasigrassetto"/>
          <w:rFonts w:cstheme="minorHAnsi"/>
          <w:b w:val="0"/>
          <w:sz w:val="24"/>
          <w:szCs w:val="24"/>
          <w:lang w:val="en-GB"/>
        </w:rPr>
        <w:t xml:space="preserve"> can be influenced by differences across registries in the exclusion/inclusion of less severe anomalies, the prevalence of prenatal screening and subsequent termination of pregnancies, the source of mortality data and linkage success.</w:t>
      </w:r>
    </w:p>
    <w:p w14:paraId="4602A86D" w14:textId="74C6EE1C" w:rsidR="00345640" w:rsidRDefault="00345640">
      <w:pPr>
        <w:rPr>
          <w:rFonts w:eastAsiaTheme="majorEastAsia" w:cstheme="minorHAnsi"/>
          <w:spacing w:val="-7"/>
          <w:sz w:val="20"/>
          <w:szCs w:val="20"/>
          <w:lang w:val="en-GB"/>
        </w:rPr>
      </w:pPr>
      <w:r>
        <w:rPr>
          <w:rFonts w:eastAsiaTheme="majorEastAsia" w:cstheme="minorHAnsi"/>
          <w:spacing w:val="-7"/>
          <w:sz w:val="20"/>
          <w:szCs w:val="20"/>
          <w:lang w:val="en-GB"/>
        </w:rPr>
        <w:br w:type="page"/>
      </w:r>
    </w:p>
    <w:p w14:paraId="04E74FCF" w14:textId="37932612" w:rsidR="0051353C" w:rsidRPr="00E615BD" w:rsidRDefault="0051353C" w:rsidP="00754F3C">
      <w:pPr>
        <w:spacing w:after="0" w:line="480" w:lineRule="auto"/>
        <w:rPr>
          <w:rFonts w:cstheme="minorHAnsi"/>
          <w:b/>
          <w:sz w:val="24"/>
          <w:szCs w:val="24"/>
          <w:lang w:val="en-GB"/>
        </w:rPr>
      </w:pPr>
      <w:r w:rsidRPr="00E615BD">
        <w:rPr>
          <w:rFonts w:cstheme="minorHAnsi"/>
          <w:b/>
          <w:sz w:val="24"/>
          <w:szCs w:val="24"/>
          <w:lang w:val="en-GB"/>
        </w:rPr>
        <w:lastRenderedPageBreak/>
        <w:t>ABST</w:t>
      </w:r>
      <w:r w:rsidR="00C877D5" w:rsidRPr="00E615BD">
        <w:rPr>
          <w:rFonts w:cstheme="minorHAnsi"/>
          <w:b/>
          <w:sz w:val="24"/>
          <w:szCs w:val="24"/>
          <w:lang w:val="en-GB"/>
        </w:rPr>
        <w:t>R</w:t>
      </w:r>
      <w:r w:rsidRPr="00E615BD">
        <w:rPr>
          <w:rFonts w:cstheme="minorHAnsi"/>
          <w:b/>
          <w:sz w:val="24"/>
          <w:szCs w:val="24"/>
          <w:lang w:val="en-GB"/>
        </w:rPr>
        <w:t>ACT</w:t>
      </w:r>
      <w:r w:rsidR="00606A20" w:rsidRPr="00E615BD">
        <w:rPr>
          <w:rFonts w:cstheme="minorHAnsi"/>
          <w:b/>
          <w:sz w:val="24"/>
          <w:szCs w:val="24"/>
          <w:lang w:val="en-GB"/>
        </w:rPr>
        <w:t xml:space="preserve"> </w:t>
      </w:r>
    </w:p>
    <w:p w14:paraId="211351D5" w14:textId="2787EA40" w:rsidR="00016939" w:rsidRPr="00E615BD" w:rsidRDefault="00016939" w:rsidP="00754F3C">
      <w:pPr>
        <w:spacing w:after="0" w:line="480" w:lineRule="auto"/>
        <w:rPr>
          <w:rFonts w:cstheme="minorHAnsi"/>
          <w:sz w:val="24"/>
          <w:szCs w:val="24"/>
          <w:lang w:val="en-GB"/>
        </w:rPr>
      </w:pPr>
      <w:r w:rsidRPr="00E615BD">
        <w:rPr>
          <w:rFonts w:cstheme="minorHAnsi"/>
          <w:b/>
          <w:sz w:val="24"/>
          <w:szCs w:val="24"/>
          <w:lang w:val="en-GB"/>
        </w:rPr>
        <w:t xml:space="preserve">Background. </w:t>
      </w:r>
      <w:r w:rsidR="00670710" w:rsidRPr="00E615BD">
        <w:rPr>
          <w:rFonts w:cstheme="minorHAnsi"/>
          <w:sz w:val="24"/>
          <w:szCs w:val="24"/>
          <w:lang w:val="en-GB"/>
        </w:rPr>
        <w:t xml:space="preserve">Congenital anomalies </w:t>
      </w:r>
      <w:r w:rsidRPr="00E615BD">
        <w:rPr>
          <w:rFonts w:cstheme="minorHAnsi"/>
          <w:sz w:val="24"/>
          <w:szCs w:val="24"/>
          <w:lang w:val="en-GB"/>
        </w:rPr>
        <w:t>are a major cause of perinatal, neonatal and infant mortality.</w:t>
      </w:r>
    </w:p>
    <w:p w14:paraId="316C8C45" w14:textId="614A7886" w:rsidR="0051353C" w:rsidRPr="00E615BD" w:rsidRDefault="00016939" w:rsidP="00754F3C">
      <w:pPr>
        <w:spacing w:after="0" w:line="480" w:lineRule="auto"/>
        <w:rPr>
          <w:rFonts w:cstheme="minorHAnsi"/>
          <w:sz w:val="24"/>
          <w:szCs w:val="24"/>
          <w:lang w:val="en-GB"/>
        </w:rPr>
      </w:pPr>
      <w:r w:rsidRPr="00E615BD">
        <w:rPr>
          <w:rFonts w:cstheme="minorHAnsi"/>
          <w:b/>
          <w:sz w:val="24"/>
          <w:szCs w:val="24"/>
          <w:lang w:val="en-GB"/>
        </w:rPr>
        <w:t>Objectives</w:t>
      </w:r>
      <w:r w:rsidR="009639DA">
        <w:rPr>
          <w:rFonts w:cstheme="minorHAnsi"/>
          <w:b/>
          <w:sz w:val="24"/>
          <w:szCs w:val="24"/>
          <w:lang w:val="en-GB"/>
        </w:rPr>
        <w:t>.</w:t>
      </w:r>
      <w:r w:rsidR="0051353C" w:rsidRPr="00E615BD">
        <w:rPr>
          <w:rFonts w:cstheme="minorHAnsi"/>
          <w:sz w:val="24"/>
          <w:szCs w:val="24"/>
          <w:lang w:val="en-GB"/>
        </w:rPr>
        <w:t xml:space="preserve"> The aim was to investigate temporal changes and geographical variation in survival of children with </w:t>
      </w:r>
      <w:r w:rsidR="00A8669B" w:rsidRPr="00E615BD">
        <w:rPr>
          <w:rFonts w:cstheme="minorHAnsi"/>
          <w:sz w:val="24"/>
          <w:szCs w:val="24"/>
          <w:lang w:val="en-GB"/>
        </w:rPr>
        <w:t xml:space="preserve">major </w:t>
      </w:r>
      <w:r w:rsidR="005724AB" w:rsidRPr="00E615BD">
        <w:rPr>
          <w:rFonts w:cstheme="minorHAnsi"/>
          <w:sz w:val="24"/>
          <w:szCs w:val="24"/>
          <w:lang w:val="en-GB"/>
        </w:rPr>
        <w:t>congenital a</w:t>
      </w:r>
      <w:r w:rsidR="0051353C" w:rsidRPr="00E615BD">
        <w:rPr>
          <w:rFonts w:cstheme="minorHAnsi"/>
          <w:sz w:val="24"/>
          <w:szCs w:val="24"/>
          <w:lang w:val="en-GB"/>
        </w:rPr>
        <w:t>nomalies (CAs) in different European areas.</w:t>
      </w:r>
    </w:p>
    <w:p w14:paraId="2C4DEEC9" w14:textId="486FAEE6" w:rsidR="0051353C" w:rsidRPr="00E615BD" w:rsidRDefault="0051353C" w:rsidP="00754F3C">
      <w:pPr>
        <w:spacing w:after="0" w:line="480" w:lineRule="auto"/>
        <w:rPr>
          <w:rFonts w:cstheme="minorHAnsi"/>
          <w:sz w:val="24"/>
          <w:szCs w:val="24"/>
          <w:lang w:val="en-GB"/>
        </w:rPr>
      </w:pPr>
      <w:r w:rsidRPr="00E615BD">
        <w:rPr>
          <w:rFonts w:cstheme="minorHAnsi"/>
          <w:b/>
          <w:sz w:val="24"/>
          <w:szCs w:val="24"/>
          <w:lang w:val="en-GB"/>
        </w:rPr>
        <w:t>Methods.</w:t>
      </w:r>
      <w:r w:rsidRPr="00E615BD">
        <w:rPr>
          <w:rFonts w:cstheme="minorHAnsi"/>
          <w:sz w:val="24"/>
          <w:szCs w:val="24"/>
          <w:lang w:val="en-GB"/>
        </w:rPr>
        <w:t xml:space="preserve"> </w:t>
      </w:r>
      <w:r w:rsidR="005724AB" w:rsidRPr="00E615BD">
        <w:rPr>
          <w:rFonts w:cstheme="minorHAnsi"/>
          <w:sz w:val="24"/>
          <w:szCs w:val="24"/>
          <w:lang w:val="en-GB"/>
        </w:rPr>
        <w:t xml:space="preserve">In this </w:t>
      </w:r>
      <w:r w:rsidR="00554C86" w:rsidRPr="00E615BD">
        <w:rPr>
          <w:rFonts w:cstheme="minorHAnsi"/>
          <w:sz w:val="24"/>
          <w:szCs w:val="24"/>
          <w:lang w:val="en-GB"/>
        </w:rPr>
        <w:t>population-based linkage cohort study</w:t>
      </w:r>
      <w:r w:rsidR="00CA766A" w:rsidRPr="00E615BD">
        <w:rPr>
          <w:rFonts w:cstheme="minorHAnsi"/>
          <w:sz w:val="24"/>
          <w:szCs w:val="24"/>
          <w:lang w:val="en-GB"/>
        </w:rPr>
        <w:t>,</w:t>
      </w:r>
      <w:r w:rsidR="00554C86" w:rsidRPr="00E615BD">
        <w:rPr>
          <w:rFonts w:cstheme="minorHAnsi"/>
          <w:sz w:val="24"/>
          <w:szCs w:val="24"/>
          <w:lang w:val="en-GB"/>
        </w:rPr>
        <w:t xml:space="preserve"> </w:t>
      </w:r>
      <w:r w:rsidR="005724AB" w:rsidRPr="00E615BD">
        <w:rPr>
          <w:rFonts w:cstheme="minorHAnsi"/>
          <w:sz w:val="24"/>
          <w:szCs w:val="24"/>
          <w:lang w:val="en-GB"/>
        </w:rPr>
        <w:t>17 CA</w:t>
      </w:r>
      <w:r w:rsidRPr="00E615BD">
        <w:rPr>
          <w:rFonts w:cstheme="minorHAnsi"/>
          <w:sz w:val="24"/>
          <w:szCs w:val="24"/>
          <w:lang w:val="en-GB"/>
        </w:rPr>
        <w:t xml:space="preserve"> registries</w:t>
      </w:r>
      <w:r w:rsidR="00DE3E4F" w:rsidRPr="00E615BD">
        <w:rPr>
          <w:rFonts w:cstheme="minorHAnsi"/>
          <w:sz w:val="24"/>
          <w:szCs w:val="24"/>
          <w:lang w:val="en-GB"/>
        </w:rPr>
        <w:t xml:space="preserve"> </w:t>
      </w:r>
      <w:r w:rsidR="00E615BD" w:rsidRPr="00CE66BE">
        <w:rPr>
          <w:rFonts w:cstheme="minorHAnsi"/>
          <w:sz w:val="24"/>
          <w:szCs w:val="24"/>
          <w:lang w:val="en-GB"/>
        </w:rPr>
        <w:t>members of EUROCAT, the European network for the surveillance of CAs</w:t>
      </w:r>
      <w:r w:rsidR="00E615BD">
        <w:rPr>
          <w:rFonts w:cstheme="minorHAnsi"/>
          <w:sz w:val="24"/>
          <w:szCs w:val="24"/>
          <w:lang w:val="en-GB"/>
        </w:rPr>
        <w:t>,</w:t>
      </w:r>
      <w:r w:rsidRPr="00E615BD">
        <w:rPr>
          <w:rFonts w:cstheme="minorHAnsi"/>
          <w:sz w:val="24"/>
          <w:szCs w:val="24"/>
          <w:lang w:val="en-GB"/>
        </w:rPr>
        <w:t xml:space="preserve"> successfully linked </w:t>
      </w:r>
      <w:r w:rsidR="000464BD" w:rsidRPr="00E615BD">
        <w:rPr>
          <w:rFonts w:cstheme="minorHAnsi"/>
          <w:sz w:val="24"/>
          <w:szCs w:val="24"/>
          <w:lang w:val="en-GB"/>
        </w:rPr>
        <w:t xml:space="preserve">data on </w:t>
      </w:r>
      <w:r w:rsidR="00DE3E4F" w:rsidRPr="00E615BD">
        <w:rPr>
          <w:rFonts w:eastAsia="Times New Roman" w:cstheme="minorHAnsi"/>
          <w:color w:val="000000"/>
          <w:sz w:val="24"/>
          <w:szCs w:val="24"/>
          <w:lang w:val="en-GB" w:eastAsia="it-IT"/>
        </w:rPr>
        <w:t>115,219</w:t>
      </w:r>
      <w:r w:rsidR="00DE3E4F" w:rsidRPr="00E615BD">
        <w:rPr>
          <w:rFonts w:cstheme="minorHAnsi"/>
          <w:sz w:val="24"/>
          <w:szCs w:val="24"/>
          <w:lang w:val="en-GB"/>
        </w:rPr>
        <w:t xml:space="preserve"> </w:t>
      </w:r>
      <w:r w:rsidRPr="00E615BD">
        <w:rPr>
          <w:rFonts w:cstheme="minorHAnsi"/>
          <w:sz w:val="24"/>
          <w:szCs w:val="24"/>
          <w:lang w:val="en-GB"/>
        </w:rPr>
        <w:t>live</w:t>
      </w:r>
      <w:r w:rsidR="002719E9" w:rsidRPr="00E615BD">
        <w:rPr>
          <w:rFonts w:cstheme="minorHAnsi"/>
          <w:sz w:val="24"/>
          <w:szCs w:val="24"/>
          <w:lang w:val="en-GB"/>
        </w:rPr>
        <w:t xml:space="preserve"> </w:t>
      </w:r>
      <w:r w:rsidRPr="00E615BD">
        <w:rPr>
          <w:rFonts w:cstheme="minorHAnsi"/>
          <w:sz w:val="24"/>
          <w:szCs w:val="24"/>
          <w:lang w:val="en-GB"/>
        </w:rPr>
        <w:t>births with CA</w:t>
      </w:r>
      <w:r w:rsidR="00851A43" w:rsidRPr="00E615BD">
        <w:rPr>
          <w:rFonts w:cstheme="minorHAnsi"/>
          <w:sz w:val="24"/>
          <w:szCs w:val="24"/>
          <w:lang w:val="en-GB"/>
        </w:rPr>
        <w:t>s</w:t>
      </w:r>
      <w:r w:rsidRPr="00E615BD">
        <w:rPr>
          <w:rFonts w:cstheme="minorHAnsi"/>
          <w:sz w:val="24"/>
          <w:szCs w:val="24"/>
          <w:lang w:val="en-GB"/>
        </w:rPr>
        <w:t xml:space="preserve"> to mortality records. </w:t>
      </w:r>
      <w:r w:rsidR="003C046C" w:rsidRPr="00E615BD">
        <w:rPr>
          <w:rFonts w:cstheme="minorHAnsi"/>
          <w:sz w:val="24"/>
          <w:szCs w:val="24"/>
          <w:lang w:val="en-GB"/>
        </w:rPr>
        <w:t>Reg</w:t>
      </w:r>
      <w:r w:rsidR="00FE521F" w:rsidRPr="00E615BD">
        <w:rPr>
          <w:rFonts w:cstheme="minorHAnsi"/>
          <w:sz w:val="24"/>
          <w:szCs w:val="24"/>
          <w:lang w:val="en-GB"/>
        </w:rPr>
        <w:t>istries estimated Kaplan-Meier s</w:t>
      </w:r>
      <w:r w:rsidR="003C046C" w:rsidRPr="00E615BD">
        <w:rPr>
          <w:rFonts w:cstheme="minorHAnsi"/>
          <w:sz w:val="24"/>
          <w:szCs w:val="24"/>
          <w:lang w:val="en-GB"/>
        </w:rPr>
        <w:t>urvival at 28 days and 5 years of age and fitted Cox’s proportional hazards models comparing mortality</w:t>
      </w:r>
      <w:r w:rsidR="00516089" w:rsidRPr="00E615BD">
        <w:rPr>
          <w:rFonts w:cstheme="minorHAnsi"/>
          <w:sz w:val="24"/>
          <w:szCs w:val="24"/>
          <w:lang w:val="en-GB"/>
        </w:rPr>
        <w:t xml:space="preserve"> at 1 year and 1-9 years of age</w:t>
      </w:r>
      <w:r w:rsidR="003C046C" w:rsidRPr="00E615BD">
        <w:rPr>
          <w:rFonts w:cstheme="minorHAnsi"/>
          <w:sz w:val="24"/>
          <w:szCs w:val="24"/>
          <w:lang w:val="en-GB"/>
        </w:rPr>
        <w:t xml:space="preserve"> for children born during 2005-2014 with those born during 1995-2004.</w:t>
      </w:r>
      <w:r w:rsidR="00456050" w:rsidRPr="00E615BD">
        <w:rPr>
          <w:rFonts w:cstheme="minorHAnsi"/>
          <w:sz w:val="24"/>
          <w:szCs w:val="24"/>
          <w:lang w:val="en-GB"/>
        </w:rPr>
        <w:t xml:space="preserve"> </w:t>
      </w:r>
      <w:r w:rsidR="003C046C" w:rsidRPr="00E615BD">
        <w:rPr>
          <w:rFonts w:cstheme="minorHAnsi"/>
          <w:sz w:val="24"/>
          <w:szCs w:val="24"/>
          <w:lang w:val="en-GB"/>
        </w:rPr>
        <w:t>The hazard ratios (HR) from each registry were co</w:t>
      </w:r>
      <w:r w:rsidR="000F090F" w:rsidRPr="00E615BD">
        <w:rPr>
          <w:rFonts w:cstheme="minorHAnsi"/>
          <w:sz w:val="24"/>
          <w:szCs w:val="24"/>
          <w:lang w:val="en-GB"/>
        </w:rPr>
        <w:t>mbined centrally using a random-</w:t>
      </w:r>
      <w:r w:rsidR="003C046C" w:rsidRPr="00E615BD">
        <w:rPr>
          <w:rFonts w:cstheme="minorHAnsi"/>
          <w:sz w:val="24"/>
          <w:szCs w:val="24"/>
          <w:lang w:val="en-GB"/>
        </w:rPr>
        <w:t>effects model.</w:t>
      </w:r>
      <w:r w:rsidR="00CE287A" w:rsidRPr="00E615BD">
        <w:rPr>
          <w:rFonts w:cstheme="minorHAnsi"/>
          <w:sz w:val="24"/>
          <w:szCs w:val="24"/>
          <w:lang w:val="en-GB"/>
        </w:rPr>
        <w:t xml:space="preserve"> </w:t>
      </w:r>
      <w:r w:rsidR="005724AB" w:rsidRPr="00E615BD">
        <w:rPr>
          <w:rFonts w:cstheme="minorHAnsi"/>
          <w:sz w:val="24"/>
          <w:szCs w:val="24"/>
          <w:lang w:val="en-GB"/>
        </w:rPr>
        <w:t>The 5-year s</w:t>
      </w:r>
      <w:r w:rsidRPr="00E615BD">
        <w:rPr>
          <w:rFonts w:cstheme="minorHAnsi"/>
          <w:sz w:val="24"/>
          <w:szCs w:val="24"/>
          <w:lang w:val="en-GB"/>
        </w:rPr>
        <w:t xml:space="preserve">urvival conditional on having survived to 28 days </w:t>
      </w:r>
      <w:r w:rsidR="003C046C" w:rsidRPr="00E615BD">
        <w:rPr>
          <w:rFonts w:cstheme="minorHAnsi"/>
          <w:sz w:val="24"/>
          <w:szCs w:val="24"/>
          <w:lang w:val="en-GB"/>
        </w:rPr>
        <w:t xml:space="preserve">of age </w:t>
      </w:r>
      <w:r w:rsidRPr="00E615BD">
        <w:rPr>
          <w:rFonts w:cstheme="minorHAnsi"/>
          <w:sz w:val="24"/>
          <w:szCs w:val="24"/>
          <w:lang w:val="en-GB"/>
        </w:rPr>
        <w:t xml:space="preserve">was calculated. </w:t>
      </w:r>
    </w:p>
    <w:p w14:paraId="19A24C68" w14:textId="72242471" w:rsidR="00443A3E" w:rsidRPr="00E615BD" w:rsidRDefault="0051353C" w:rsidP="00754F3C">
      <w:pPr>
        <w:spacing w:after="0" w:line="480" w:lineRule="auto"/>
        <w:rPr>
          <w:rFonts w:cstheme="minorHAnsi"/>
          <w:sz w:val="24"/>
          <w:szCs w:val="24"/>
          <w:lang w:val="en-GB"/>
        </w:rPr>
      </w:pPr>
      <w:r w:rsidRPr="00E615BD">
        <w:rPr>
          <w:rFonts w:cstheme="minorHAnsi"/>
          <w:b/>
          <w:sz w:val="24"/>
          <w:szCs w:val="24"/>
          <w:lang w:val="en-GB"/>
        </w:rPr>
        <w:t>Results.</w:t>
      </w:r>
      <w:r w:rsidRPr="00E615BD">
        <w:rPr>
          <w:rFonts w:cstheme="minorHAnsi"/>
          <w:sz w:val="24"/>
          <w:szCs w:val="24"/>
          <w:lang w:val="en-GB"/>
        </w:rPr>
        <w:t xml:space="preserve"> The </w:t>
      </w:r>
      <w:r w:rsidR="00111655" w:rsidRPr="00E615BD">
        <w:rPr>
          <w:rFonts w:cstheme="minorHAnsi"/>
          <w:sz w:val="24"/>
          <w:szCs w:val="24"/>
          <w:lang w:val="en-GB"/>
        </w:rPr>
        <w:t xml:space="preserve">overall </w:t>
      </w:r>
      <w:r w:rsidRPr="00E615BD">
        <w:rPr>
          <w:rFonts w:cstheme="minorHAnsi"/>
          <w:sz w:val="24"/>
          <w:szCs w:val="24"/>
          <w:lang w:val="en-GB"/>
        </w:rPr>
        <w:t xml:space="preserve">risk of death </w:t>
      </w:r>
      <w:r w:rsidR="00A8669B" w:rsidRPr="00E615BD">
        <w:rPr>
          <w:rFonts w:cstheme="minorHAnsi"/>
          <w:sz w:val="24"/>
          <w:szCs w:val="24"/>
          <w:lang w:val="en-GB"/>
        </w:rPr>
        <w:t xml:space="preserve">by </w:t>
      </w:r>
      <w:r w:rsidRPr="00E615BD">
        <w:rPr>
          <w:rFonts w:cstheme="minorHAnsi"/>
          <w:sz w:val="24"/>
          <w:szCs w:val="24"/>
          <w:lang w:val="en-GB"/>
        </w:rPr>
        <w:t xml:space="preserve">1 year of age for </w:t>
      </w:r>
      <w:r w:rsidR="003A6390" w:rsidRPr="00E615BD">
        <w:rPr>
          <w:rFonts w:cstheme="minorHAnsi"/>
          <w:sz w:val="24"/>
          <w:szCs w:val="24"/>
          <w:lang w:val="en-GB"/>
        </w:rPr>
        <w:t xml:space="preserve">children born with any major </w:t>
      </w:r>
      <w:r w:rsidR="00CA766A" w:rsidRPr="00E615BD">
        <w:rPr>
          <w:rFonts w:cstheme="minorHAnsi"/>
          <w:sz w:val="24"/>
          <w:szCs w:val="24"/>
          <w:lang w:val="en-GB"/>
        </w:rPr>
        <w:t>CA</w:t>
      </w:r>
      <w:r w:rsidR="003A6390" w:rsidRPr="00E615BD">
        <w:rPr>
          <w:rFonts w:cstheme="minorHAnsi"/>
          <w:sz w:val="24"/>
          <w:szCs w:val="24"/>
          <w:lang w:val="en-GB"/>
        </w:rPr>
        <w:t xml:space="preserve"> in 2005-2014 significantly decreased</w:t>
      </w:r>
      <w:r w:rsidR="009D5C52" w:rsidRPr="00E615BD">
        <w:rPr>
          <w:rFonts w:cstheme="minorHAnsi"/>
          <w:sz w:val="24"/>
          <w:szCs w:val="24"/>
          <w:lang w:val="en-GB"/>
        </w:rPr>
        <w:t xml:space="preserve"> </w:t>
      </w:r>
      <w:r w:rsidR="00111655" w:rsidRPr="00E615BD">
        <w:rPr>
          <w:rFonts w:cstheme="minorHAnsi"/>
          <w:sz w:val="24"/>
          <w:szCs w:val="24"/>
          <w:lang w:val="en-GB"/>
        </w:rPr>
        <w:t xml:space="preserve">compared to 1995-2004 </w:t>
      </w:r>
      <w:r w:rsidR="009D5C52" w:rsidRPr="00E615BD">
        <w:rPr>
          <w:rFonts w:cstheme="minorHAnsi"/>
          <w:sz w:val="24"/>
          <w:szCs w:val="24"/>
          <w:lang w:val="en-GB"/>
        </w:rPr>
        <w:t>(HR 0.</w:t>
      </w:r>
      <w:r w:rsidR="00914280" w:rsidRPr="00E615BD">
        <w:rPr>
          <w:rFonts w:cstheme="minorHAnsi"/>
          <w:sz w:val="24"/>
          <w:szCs w:val="24"/>
          <w:lang w:val="en-GB"/>
        </w:rPr>
        <w:t>68</w:t>
      </w:r>
      <w:r w:rsidR="00394FB5">
        <w:rPr>
          <w:rFonts w:cstheme="minorHAnsi"/>
          <w:sz w:val="24"/>
          <w:szCs w:val="24"/>
          <w:lang w:val="en-GB"/>
        </w:rPr>
        <w:t>, 95% CI</w:t>
      </w:r>
      <w:r w:rsidR="009D5C52" w:rsidRPr="00E615BD">
        <w:rPr>
          <w:rFonts w:cstheme="minorHAnsi"/>
          <w:sz w:val="24"/>
          <w:szCs w:val="24"/>
          <w:lang w:val="en-GB"/>
        </w:rPr>
        <w:t xml:space="preserve"> 0.5</w:t>
      </w:r>
      <w:r w:rsidR="00914280" w:rsidRPr="00E615BD">
        <w:rPr>
          <w:rFonts w:cstheme="minorHAnsi"/>
          <w:sz w:val="24"/>
          <w:szCs w:val="24"/>
          <w:lang w:val="en-GB"/>
        </w:rPr>
        <w:t>3</w:t>
      </w:r>
      <w:r w:rsidR="00394FB5">
        <w:rPr>
          <w:rFonts w:cstheme="minorHAnsi"/>
          <w:sz w:val="24"/>
          <w:szCs w:val="24"/>
          <w:lang w:val="en-GB"/>
        </w:rPr>
        <w:t xml:space="preserve">, </w:t>
      </w:r>
      <w:r w:rsidR="009D5C52" w:rsidRPr="00E615BD">
        <w:rPr>
          <w:rFonts w:cstheme="minorHAnsi"/>
          <w:sz w:val="24"/>
          <w:szCs w:val="24"/>
          <w:lang w:val="en-GB"/>
        </w:rPr>
        <w:t>0.</w:t>
      </w:r>
      <w:r w:rsidR="00914280" w:rsidRPr="00E615BD">
        <w:rPr>
          <w:rFonts w:cstheme="minorHAnsi"/>
          <w:sz w:val="24"/>
          <w:szCs w:val="24"/>
          <w:lang w:val="en-GB"/>
        </w:rPr>
        <w:t>89</w:t>
      </w:r>
      <w:r w:rsidR="009D5C52" w:rsidRPr="00E615BD">
        <w:rPr>
          <w:rFonts w:cstheme="minorHAnsi"/>
          <w:sz w:val="24"/>
          <w:szCs w:val="24"/>
          <w:lang w:val="en-GB"/>
        </w:rPr>
        <w:t>).</w:t>
      </w:r>
      <w:r w:rsidRPr="00E615BD">
        <w:rPr>
          <w:rFonts w:cstheme="minorHAnsi"/>
          <w:sz w:val="24"/>
          <w:szCs w:val="24"/>
          <w:lang w:val="en-GB"/>
        </w:rPr>
        <w:t xml:space="preserve"> Survival at 5 years </w:t>
      </w:r>
      <w:r w:rsidR="000F090F" w:rsidRPr="00E615BD">
        <w:rPr>
          <w:rFonts w:cstheme="minorHAnsi"/>
          <w:sz w:val="24"/>
          <w:szCs w:val="24"/>
          <w:lang w:val="en-GB"/>
        </w:rPr>
        <w:t xml:space="preserve">of age </w:t>
      </w:r>
      <w:r w:rsidRPr="00E615BD">
        <w:rPr>
          <w:rFonts w:cstheme="minorHAnsi"/>
          <w:sz w:val="24"/>
          <w:szCs w:val="24"/>
          <w:lang w:val="en-GB"/>
        </w:rPr>
        <w:t xml:space="preserve">ranged </w:t>
      </w:r>
      <w:r w:rsidR="00111655" w:rsidRPr="00E615BD">
        <w:rPr>
          <w:rFonts w:cstheme="minorHAnsi"/>
          <w:sz w:val="24"/>
          <w:szCs w:val="24"/>
          <w:lang w:val="en-GB"/>
        </w:rPr>
        <w:t xml:space="preserve">between registries </w:t>
      </w:r>
      <w:r w:rsidRPr="00E615BD">
        <w:rPr>
          <w:rFonts w:cstheme="minorHAnsi"/>
          <w:sz w:val="24"/>
          <w:szCs w:val="24"/>
          <w:lang w:val="en-GB"/>
        </w:rPr>
        <w:t xml:space="preserve">from 97.6% to 87.0%. The lowest survival was observed for the </w:t>
      </w:r>
      <w:r w:rsidR="004B3FB3" w:rsidRPr="00E615BD">
        <w:rPr>
          <w:rFonts w:cstheme="minorHAnsi"/>
          <w:sz w:val="24"/>
          <w:szCs w:val="24"/>
          <w:lang w:val="en-GB"/>
        </w:rPr>
        <w:t xml:space="preserve">registry of </w:t>
      </w:r>
      <w:r w:rsidRPr="00E615BD">
        <w:rPr>
          <w:rFonts w:cstheme="minorHAnsi"/>
          <w:sz w:val="24"/>
          <w:szCs w:val="24"/>
          <w:lang w:val="en-GB"/>
        </w:rPr>
        <w:t>OMNI-Net (Ukraine) (87.0</w:t>
      </w:r>
      <w:r w:rsidR="00115AEC" w:rsidRPr="00E615BD">
        <w:rPr>
          <w:rFonts w:cstheme="minorHAnsi"/>
          <w:sz w:val="24"/>
          <w:szCs w:val="24"/>
          <w:lang w:val="en-GB"/>
        </w:rPr>
        <w:t>%</w:t>
      </w:r>
      <w:r w:rsidR="00394FB5">
        <w:rPr>
          <w:rFonts w:cstheme="minorHAnsi"/>
          <w:sz w:val="24"/>
          <w:szCs w:val="24"/>
          <w:lang w:val="en-GB"/>
        </w:rPr>
        <w:t>, 95% CI</w:t>
      </w:r>
      <w:r w:rsidRPr="00E615BD">
        <w:rPr>
          <w:rFonts w:cstheme="minorHAnsi"/>
          <w:sz w:val="24"/>
          <w:szCs w:val="24"/>
          <w:lang w:val="en-GB"/>
        </w:rPr>
        <w:t xml:space="preserve"> 86.1</w:t>
      </w:r>
      <w:r w:rsidR="00394FB5">
        <w:rPr>
          <w:rFonts w:cstheme="minorHAnsi"/>
          <w:sz w:val="24"/>
          <w:szCs w:val="24"/>
          <w:lang w:val="en-GB"/>
        </w:rPr>
        <w:t xml:space="preserve">, </w:t>
      </w:r>
      <w:proofErr w:type="gramStart"/>
      <w:r w:rsidR="00D93F65" w:rsidRPr="00E615BD">
        <w:rPr>
          <w:rFonts w:cstheme="minorHAnsi"/>
          <w:sz w:val="24"/>
          <w:szCs w:val="24"/>
          <w:lang w:val="en-GB"/>
        </w:rPr>
        <w:t>87.9</w:t>
      </w:r>
      <w:proofErr w:type="gramEnd"/>
      <w:r w:rsidR="00D93F65" w:rsidRPr="00E615BD">
        <w:rPr>
          <w:rFonts w:cstheme="minorHAnsi"/>
          <w:sz w:val="24"/>
          <w:szCs w:val="24"/>
          <w:lang w:val="en-GB"/>
        </w:rPr>
        <w:t>)</w:t>
      </w:r>
      <w:r w:rsidRPr="00E615BD">
        <w:rPr>
          <w:rFonts w:cstheme="minorHAnsi"/>
          <w:sz w:val="24"/>
          <w:szCs w:val="24"/>
          <w:lang w:val="en-GB"/>
        </w:rPr>
        <w:t>.</w:t>
      </w:r>
      <w:r w:rsidR="003A6390" w:rsidRPr="00E615BD">
        <w:rPr>
          <w:rFonts w:cstheme="minorHAnsi"/>
          <w:sz w:val="24"/>
          <w:szCs w:val="24"/>
          <w:lang w:val="en-GB"/>
        </w:rPr>
        <w:t xml:space="preserve"> </w:t>
      </w:r>
    </w:p>
    <w:p w14:paraId="30333766" w14:textId="60553D22" w:rsidR="0051353C" w:rsidRPr="00E615BD" w:rsidRDefault="0051353C" w:rsidP="00754F3C">
      <w:pPr>
        <w:spacing w:after="0" w:line="480" w:lineRule="auto"/>
        <w:rPr>
          <w:rFonts w:ascii="Times New Roman" w:hAnsi="Times New Roman" w:cs="Times New Roman"/>
          <w:color w:val="000000"/>
          <w:sz w:val="24"/>
          <w:szCs w:val="24"/>
          <w:lang w:val="en-GB"/>
        </w:rPr>
      </w:pPr>
      <w:r w:rsidRPr="00E615BD">
        <w:rPr>
          <w:rFonts w:cstheme="minorHAnsi"/>
          <w:b/>
          <w:sz w:val="24"/>
          <w:szCs w:val="24"/>
          <w:lang w:val="en-GB"/>
        </w:rPr>
        <w:t xml:space="preserve">Conclusions. </w:t>
      </w:r>
      <w:r w:rsidRPr="00E615BD">
        <w:rPr>
          <w:rFonts w:cstheme="minorHAnsi"/>
          <w:color w:val="000000"/>
          <w:sz w:val="24"/>
          <w:szCs w:val="24"/>
          <w:lang w:val="en-GB"/>
        </w:rPr>
        <w:t xml:space="preserve">Survival </w:t>
      </w:r>
      <w:r w:rsidR="00F16448" w:rsidRPr="00E615BD">
        <w:rPr>
          <w:rFonts w:cstheme="minorHAnsi"/>
          <w:color w:val="000000"/>
          <w:sz w:val="24"/>
          <w:szCs w:val="24"/>
          <w:lang w:val="en-GB"/>
        </w:rPr>
        <w:t>of children with CA</w:t>
      </w:r>
      <w:r w:rsidR="00FE521F" w:rsidRPr="00E615BD">
        <w:rPr>
          <w:rFonts w:cstheme="minorHAnsi"/>
          <w:color w:val="000000"/>
          <w:sz w:val="24"/>
          <w:szCs w:val="24"/>
          <w:lang w:val="en-GB"/>
        </w:rPr>
        <w:t>s</w:t>
      </w:r>
      <w:r w:rsidR="00F16448" w:rsidRPr="00E615BD">
        <w:rPr>
          <w:rFonts w:cstheme="minorHAnsi"/>
          <w:color w:val="000000"/>
          <w:sz w:val="24"/>
          <w:szCs w:val="24"/>
          <w:lang w:val="en-GB"/>
        </w:rPr>
        <w:t xml:space="preserve"> </w:t>
      </w:r>
      <w:r w:rsidRPr="00E615BD">
        <w:rPr>
          <w:rFonts w:cstheme="minorHAnsi"/>
          <w:color w:val="000000"/>
          <w:sz w:val="24"/>
          <w:szCs w:val="24"/>
          <w:lang w:val="en-GB"/>
        </w:rPr>
        <w:t xml:space="preserve">improved </w:t>
      </w:r>
      <w:r w:rsidR="00247051" w:rsidRPr="00E615BD">
        <w:rPr>
          <w:rFonts w:cstheme="minorHAnsi"/>
          <w:color w:val="000000"/>
          <w:sz w:val="24"/>
          <w:szCs w:val="24"/>
          <w:lang w:val="en-GB"/>
        </w:rPr>
        <w:t xml:space="preserve">for births </w:t>
      </w:r>
      <w:r w:rsidRPr="00E615BD">
        <w:rPr>
          <w:rFonts w:cstheme="minorHAnsi"/>
          <w:color w:val="000000"/>
          <w:sz w:val="24"/>
          <w:szCs w:val="24"/>
          <w:lang w:val="en-GB"/>
        </w:rPr>
        <w:t xml:space="preserve">in </w:t>
      </w:r>
      <w:r w:rsidR="0095584B" w:rsidRPr="00E615BD">
        <w:rPr>
          <w:rFonts w:cstheme="minorHAnsi"/>
          <w:color w:val="000000"/>
          <w:sz w:val="24"/>
          <w:szCs w:val="24"/>
          <w:lang w:val="en-GB"/>
        </w:rPr>
        <w:t>2005-2014 compared with 1995-20</w:t>
      </w:r>
      <w:r w:rsidR="00B21C1C" w:rsidRPr="00E615BD">
        <w:rPr>
          <w:rFonts w:cstheme="minorHAnsi"/>
          <w:color w:val="000000"/>
          <w:sz w:val="24"/>
          <w:szCs w:val="24"/>
          <w:lang w:val="en-GB"/>
        </w:rPr>
        <w:t xml:space="preserve">04. </w:t>
      </w:r>
      <w:r w:rsidR="00247051" w:rsidRPr="00E615BD">
        <w:rPr>
          <w:rFonts w:cstheme="minorHAnsi"/>
          <w:color w:val="000000"/>
          <w:sz w:val="24"/>
          <w:szCs w:val="24"/>
          <w:lang w:val="en-GB"/>
        </w:rPr>
        <w:t>T</w:t>
      </w:r>
      <w:r w:rsidRPr="00E615BD">
        <w:rPr>
          <w:rFonts w:cstheme="minorHAnsi"/>
          <w:color w:val="000000"/>
          <w:sz w:val="24"/>
          <w:szCs w:val="24"/>
          <w:lang w:val="en-GB"/>
        </w:rPr>
        <w:t xml:space="preserve">he use of CA registry data linked to mortality data </w:t>
      </w:r>
      <w:r w:rsidR="00B21C1C" w:rsidRPr="00E615BD">
        <w:rPr>
          <w:rFonts w:cstheme="minorHAnsi"/>
          <w:color w:val="000000"/>
          <w:sz w:val="24"/>
          <w:szCs w:val="24"/>
          <w:lang w:val="en-GB"/>
        </w:rPr>
        <w:t>enables</w:t>
      </w:r>
      <w:r w:rsidRPr="00E615BD">
        <w:rPr>
          <w:rFonts w:cstheme="minorHAnsi"/>
          <w:color w:val="000000"/>
          <w:sz w:val="24"/>
          <w:szCs w:val="24"/>
          <w:lang w:val="en-GB"/>
        </w:rPr>
        <w:t xml:space="preserve"> investigat</w:t>
      </w:r>
      <w:r w:rsidR="00B21C1C" w:rsidRPr="00E615BD">
        <w:rPr>
          <w:rFonts w:cstheme="minorHAnsi"/>
          <w:color w:val="000000"/>
          <w:sz w:val="24"/>
          <w:szCs w:val="24"/>
          <w:lang w:val="en-GB"/>
        </w:rPr>
        <w:t>ion of</w:t>
      </w:r>
      <w:r w:rsidRPr="00E615BD">
        <w:rPr>
          <w:rFonts w:cstheme="minorHAnsi"/>
          <w:color w:val="000000"/>
          <w:sz w:val="24"/>
          <w:szCs w:val="24"/>
          <w:lang w:val="en-GB"/>
        </w:rPr>
        <w:t xml:space="preserve"> survival of children with CAs. </w:t>
      </w:r>
      <w:r w:rsidR="001763B2" w:rsidRPr="00E615BD">
        <w:rPr>
          <w:rFonts w:cstheme="minorHAnsi"/>
          <w:color w:val="000000"/>
          <w:sz w:val="24"/>
          <w:szCs w:val="24"/>
          <w:lang w:val="en-GB"/>
        </w:rPr>
        <w:t>F</w:t>
      </w:r>
      <w:r w:rsidRPr="00E615BD">
        <w:rPr>
          <w:rFonts w:cstheme="minorHAnsi"/>
          <w:color w:val="000000"/>
          <w:sz w:val="24"/>
          <w:szCs w:val="24"/>
          <w:lang w:val="en-GB"/>
        </w:rPr>
        <w:t xml:space="preserve">actors such as </w:t>
      </w:r>
      <w:r w:rsidR="001763B2" w:rsidRPr="00E615BD">
        <w:rPr>
          <w:rFonts w:cstheme="minorHAnsi"/>
          <w:color w:val="000000"/>
          <w:sz w:val="24"/>
          <w:szCs w:val="24"/>
          <w:lang w:val="en-GB"/>
        </w:rPr>
        <w:t>defining major CAs</w:t>
      </w:r>
      <w:r w:rsidR="003A6390" w:rsidRPr="00E615BD">
        <w:rPr>
          <w:rFonts w:cstheme="minorHAnsi"/>
          <w:color w:val="000000"/>
          <w:sz w:val="24"/>
          <w:szCs w:val="24"/>
          <w:lang w:val="en-GB"/>
        </w:rPr>
        <w:t>, proportion of termination</w:t>
      </w:r>
      <w:r w:rsidR="001763B2" w:rsidRPr="00E615BD">
        <w:rPr>
          <w:rFonts w:cstheme="minorHAnsi"/>
          <w:color w:val="000000"/>
          <w:sz w:val="24"/>
          <w:szCs w:val="24"/>
          <w:lang w:val="en-GB"/>
        </w:rPr>
        <w:t>s</w:t>
      </w:r>
      <w:r w:rsidR="003A6390" w:rsidRPr="00E615BD">
        <w:rPr>
          <w:rFonts w:cstheme="minorHAnsi"/>
          <w:color w:val="000000"/>
          <w:sz w:val="24"/>
          <w:szCs w:val="24"/>
          <w:lang w:val="en-GB"/>
        </w:rPr>
        <w:t xml:space="preserve"> </w:t>
      </w:r>
      <w:r w:rsidR="001B71DA" w:rsidRPr="00E615BD">
        <w:rPr>
          <w:rFonts w:cstheme="minorHAnsi"/>
          <w:color w:val="000000"/>
          <w:sz w:val="24"/>
          <w:szCs w:val="24"/>
          <w:lang w:val="en-GB"/>
        </w:rPr>
        <w:t xml:space="preserve">of pregnancy </w:t>
      </w:r>
      <w:r w:rsidR="001763B2" w:rsidRPr="00E615BD">
        <w:rPr>
          <w:rFonts w:cstheme="minorHAnsi"/>
          <w:color w:val="000000"/>
          <w:sz w:val="24"/>
          <w:szCs w:val="24"/>
          <w:lang w:val="en-GB"/>
        </w:rPr>
        <w:t xml:space="preserve">for </w:t>
      </w:r>
      <w:proofErr w:type="spellStart"/>
      <w:r w:rsidR="001763B2" w:rsidRPr="00E615BD">
        <w:rPr>
          <w:rFonts w:cstheme="minorHAnsi"/>
          <w:color w:val="000000"/>
          <w:sz w:val="24"/>
          <w:szCs w:val="24"/>
          <w:lang w:val="en-GB"/>
        </w:rPr>
        <w:t>fetal</w:t>
      </w:r>
      <w:proofErr w:type="spellEnd"/>
      <w:r w:rsidR="001763B2" w:rsidRPr="00E615BD">
        <w:rPr>
          <w:rFonts w:cstheme="minorHAnsi"/>
          <w:color w:val="000000"/>
          <w:sz w:val="24"/>
          <w:szCs w:val="24"/>
          <w:lang w:val="en-GB"/>
        </w:rPr>
        <w:t xml:space="preserve"> anomaly</w:t>
      </w:r>
      <w:r w:rsidRPr="00E615BD">
        <w:rPr>
          <w:rFonts w:cstheme="minorHAnsi"/>
          <w:color w:val="000000"/>
          <w:sz w:val="24"/>
          <w:szCs w:val="24"/>
          <w:lang w:val="en-GB"/>
        </w:rPr>
        <w:t xml:space="preserve">, source of mortality data, and linkage methods, are important to consider in the design of future studies and in the interpretation of the results on survival of </w:t>
      </w:r>
      <w:r w:rsidR="00111655" w:rsidRPr="00E615BD">
        <w:rPr>
          <w:rFonts w:cstheme="minorHAnsi"/>
          <w:color w:val="000000"/>
          <w:sz w:val="24"/>
          <w:szCs w:val="24"/>
          <w:lang w:val="en-GB"/>
        </w:rPr>
        <w:t xml:space="preserve">children with </w:t>
      </w:r>
      <w:r w:rsidRPr="00E615BD">
        <w:rPr>
          <w:rFonts w:cstheme="minorHAnsi"/>
          <w:color w:val="000000"/>
          <w:sz w:val="24"/>
          <w:szCs w:val="24"/>
          <w:lang w:val="en-GB"/>
        </w:rPr>
        <w:t>CAs.</w:t>
      </w:r>
      <w:r w:rsidRPr="00E615BD">
        <w:rPr>
          <w:rFonts w:ascii="Times New Roman" w:hAnsi="Times New Roman" w:cs="Times New Roman"/>
          <w:color w:val="000000"/>
          <w:sz w:val="24"/>
          <w:szCs w:val="24"/>
          <w:lang w:val="en-GB"/>
        </w:rPr>
        <w:t xml:space="preserve"> </w:t>
      </w:r>
    </w:p>
    <w:p w14:paraId="1FA952B6" w14:textId="6FF3EDF8" w:rsidR="00516089" w:rsidRPr="00E615BD" w:rsidRDefault="00516089" w:rsidP="00754F3C">
      <w:pPr>
        <w:spacing w:after="0" w:line="480" w:lineRule="auto"/>
        <w:rPr>
          <w:rFonts w:ascii="Times New Roman" w:hAnsi="Times New Roman" w:cs="Times New Roman"/>
          <w:color w:val="000000"/>
          <w:sz w:val="24"/>
          <w:szCs w:val="24"/>
          <w:lang w:val="en-GB"/>
        </w:rPr>
      </w:pPr>
    </w:p>
    <w:p w14:paraId="7BFD319C" w14:textId="77777777" w:rsidR="00672B69" w:rsidRPr="00E615BD" w:rsidRDefault="00672B69" w:rsidP="00754F3C">
      <w:pPr>
        <w:spacing w:after="0" w:line="480" w:lineRule="auto"/>
        <w:rPr>
          <w:rFonts w:ascii="Times New Roman" w:hAnsi="Times New Roman" w:cs="Times New Roman"/>
          <w:color w:val="000000"/>
          <w:sz w:val="24"/>
          <w:szCs w:val="24"/>
          <w:lang w:val="en-GB"/>
        </w:rPr>
      </w:pPr>
    </w:p>
    <w:p w14:paraId="49237426" w14:textId="77777777" w:rsidR="00672B69" w:rsidRPr="00E615BD" w:rsidRDefault="00672B69" w:rsidP="00754F3C">
      <w:pPr>
        <w:rPr>
          <w:rStyle w:val="Enfasigrassetto"/>
          <w:rFonts w:cstheme="minorHAnsi"/>
          <w:sz w:val="24"/>
          <w:szCs w:val="24"/>
          <w:lang w:val="en-GB"/>
        </w:rPr>
      </w:pPr>
      <w:r w:rsidRPr="00E615BD">
        <w:rPr>
          <w:rStyle w:val="Enfasigrassetto"/>
          <w:rFonts w:cstheme="minorHAnsi"/>
          <w:sz w:val="24"/>
          <w:szCs w:val="24"/>
          <w:lang w:val="en-GB"/>
        </w:rPr>
        <w:t>Keywords</w:t>
      </w:r>
    </w:p>
    <w:p w14:paraId="702BC0CD" w14:textId="7CAD7E73" w:rsidR="00672B69" w:rsidRPr="0019322A" w:rsidRDefault="00672B69" w:rsidP="00754F3C">
      <w:pPr>
        <w:rPr>
          <w:rStyle w:val="Enfasigrassetto"/>
          <w:rFonts w:cstheme="minorHAnsi"/>
          <w:b w:val="0"/>
          <w:sz w:val="24"/>
          <w:szCs w:val="24"/>
          <w:lang w:val="en-GB"/>
        </w:rPr>
      </w:pPr>
      <w:proofErr w:type="gramStart"/>
      <w:r w:rsidRPr="0019322A">
        <w:rPr>
          <w:rStyle w:val="Enfasigrassetto"/>
          <w:rFonts w:cstheme="minorHAnsi"/>
          <w:b w:val="0"/>
          <w:sz w:val="24"/>
          <w:szCs w:val="24"/>
          <w:lang w:val="en-GB"/>
        </w:rPr>
        <w:t>congenital</w:t>
      </w:r>
      <w:proofErr w:type="gramEnd"/>
      <w:r w:rsidRPr="0019322A">
        <w:rPr>
          <w:rStyle w:val="Enfasigrassetto"/>
          <w:rFonts w:cstheme="minorHAnsi"/>
          <w:b w:val="0"/>
          <w:sz w:val="24"/>
          <w:szCs w:val="24"/>
          <w:lang w:val="en-GB"/>
        </w:rPr>
        <w:t xml:space="preserve"> anomalies; survival; cohort study; registry</w:t>
      </w:r>
    </w:p>
    <w:p w14:paraId="26D8F638" w14:textId="405AABD1" w:rsidR="00E615BD" w:rsidRDefault="00E615BD">
      <w:pPr>
        <w:rPr>
          <w:rStyle w:val="Enfasigrassetto"/>
          <w:rFonts w:cstheme="minorHAnsi"/>
          <w:b w:val="0"/>
          <w:lang w:val="en-GB"/>
        </w:rPr>
      </w:pPr>
      <w:r>
        <w:rPr>
          <w:rStyle w:val="Enfasigrassetto"/>
          <w:rFonts w:cstheme="minorHAnsi"/>
          <w:b w:val="0"/>
          <w:lang w:val="en-GB"/>
        </w:rPr>
        <w:br w:type="page"/>
      </w:r>
    </w:p>
    <w:p w14:paraId="48B36F8B" w14:textId="67C289E8" w:rsidR="00DA22CF" w:rsidRDefault="00DA22CF" w:rsidP="00DA22CF">
      <w:pPr>
        <w:spacing w:after="0" w:line="480" w:lineRule="auto"/>
        <w:jc w:val="center"/>
        <w:rPr>
          <w:rFonts w:cstheme="minorHAnsi"/>
          <w:b/>
          <w:sz w:val="24"/>
          <w:szCs w:val="24"/>
          <w:lang w:val="en-GB"/>
        </w:rPr>
      </w:pPr>
      <w:r>
        <w:rPr>
          <w:rFonts w:cstheme="minorHAnsi"/>
          <w:b/>
          <w:sz w:val="24"/>
          <w:szCs w:val="24"/>
          <w:lang w:val="en-GB"/>
        </w:rPr>
        <w:lastRenderedPageBreak/>
        <w:t>MAIN TEXT</w:t>
      </w:r>
    </w:p>
    <w:p w14:paraId="7A401067" w14:textId="77777777" w:rsidR="00D45250" w:rsidRPr="00D45250" w:rsidRDefault="00D45250" w:rsidP="00D45250">
      <w:pPr>
        <w:rPr>
          <w:rFonts w:cstheme="minorHAnsi"/>
          <w:b/>
          <w:sz w:val="24"/>
          <w:szCs w:val="24"/>
          <w:lang w:val="en-GB"/>
        </w:rPr>
      </w:pPr>
      <w:r w:rsidRPr="00D45250">
        <w:rPr>
          <w:rFonts w:cstheme="minorHAnsi"/>
          <w:b/>
          <w:sz w:val="24"/>
          <w:szCs w:val="24"/>
          <w:lang w:val="en-GB"/>
        </w:rPr>
        <w:t xml:space="preserve">Temporal and geographical variations in survival of children born with congenital anomalies in Europe: a multi-registry cohort study </w:t>
      </w:r>
    </w:p>
    <w:p w14:paraId="7D36AF29" w14:textId="77777777" w:rsidR="00DA22CF" w:rsidRDefault="00DA22CF" w:rsidP="00754F3C">
      <w:pPr>
        <w:spacing w:after="0" w:line="480" w:lineRule="auto"/>
        <w:rPr>
          <w:rFonts w:cstheme="minorHAnsi"/>
          <w:b/>
          <w:sz w:val="24"/>
          <w:szCs w:val="24"/>
          <w:lang w:val="en-GB"/>
        </w:rPr>
      </w:pPr>
    </w:p>
    <w:p w14:paraId="1DBCBD41" w14:textId="4D778503" w:rsidR="00D54340" w:rsidRPr="00CE66BE" w:rsidRDefault="00670710" w:rsidP="00754F3C">
      <w:pPr>
        <w:spacing w:after="0" w:line="480" w:lineRule="auto"/>
        <w:rPr>
          <w:rFonts w:cstheme="minorHAnsi"/>
          <w:b/>
          <w:sz w:val="24"/>
          <w:szCs w:val="24"/>
          <w:lang w:val="en-GB"/>
        </w:rPr>
      </w:pPr>
      <w:r>
        <w:rPr>
          <w:rFonts w:cstheme="minorHAnsi"/>
          <w:b/>
          <w:sz w:val="24"/>
          <w:szCs w:val="24"/>
          <w:lang w:val="en-GB"/>
        </w:rPr>
        <w:t>BACKGROUND</w:t>
      </w:r>
    </w:p>
    <w:p w14:paraId="41CF0155" w14:textId="435E15A7" w:rsidR="00CA766A" w:rsidRPr="00CE66BE" w:rsidRDefault="005724AB" w:rsidP="00754F3C">
      <w:pPr>
        <w:pStyle w:val="Paragrafoelenco"/>
        <w:spacing w:after="0" w:line="480" w:lineRule="auto"/>
        <w:ind w:left="0"/>
        <w:rPr>
          <w:rFonts w:cstheme="minorHAnsi"/>
          <w:sz w:val="24"/>
          <w:szCs w:val="24"/>
          <w:lang w:val="en-GB"/>
        </w:rPr>
      </w:pPr>
      <w:r w:rsidRPr="00CE66BE">
        <w:rPr>
          <w:rFonts w:cstheme="minorHAnsi"/>
          <w:sz w:val="24"/>
          <w:szCs w:val="24"/>
          <w:lang w:val="en-GB"/>
        </w:rPr>
        <w:t>Congenital a</w:t>
      </w:r>
      <w:r w:rsidR="00D54340" w:rsidRPr="00CE66BE">
        <w:rPr>
          <w:rFonts w:cstheme="minorHAnsi"/>
          <w:sz w:val="24"/>
          <w:szCs w:val="24"/>
          <w:lang w:val="en-GB"/>
        </w:rPr>
        <w:t>nomalies (CAs) are a major cause of perinatal, neonatal and infant mortality world</w:t>
      </w:r>
      <w:r w:rsidR="008737FB" w:rsidRPr="00CE66BE">
        <w:rPr>
          <w:rFonts w:cstheme="minorHAnsi"/>
          <w:sz w:val="24"/>
          <w:szCs w:val="24"/>
          <w:lang w:val="en-GB"/>
        </w:rPr>
        <w:t>wide</w:t>
      </w:r>
      <w:r w:rsidR="00D54340" w:rsidRPr="00CE66BE">
        <w:rPr>
          <w:rFonts w:cstheme="minorHAnsi"/>
          <w:sz w:val="24"/>
          <w:szCs w:val="24"/>
          <w:lang w:val="en-GB"/>
        </w:rPr>
        <w:t>.</w:t>
      </w:r>
      <w:r w:rsidR="00754F3C" w:rsidRPr="00754F3C">
        <w:rPr>
          <w:rFonts w:cstheme="minorHAnsi"/>
          <w:sz w:val="24"/>
          <w:szCs w:val="24"/>
          <w:vertAlign w:val="superscript"/>
          <w:lang w:val="en-GB"/>
        </w:rPr>
        <w:t>1-3</w:t>
      </w:r>
      <w:r w:rsidR="00D54340" w:rsidRPr="00CE66BE">
        <w:rPr>
          <w:rFonts w:cstheme="minorHAnsi"/>
          <w:sz w:val="24"/>
          <w:szCs w:val="24"/>
          <w:lang w:val="en-GB"/>
        </w:rPr>
        <w:t xml:space="preserve"> In developed </w:t>
      </w:r>
      <w:r w:rsidR="009F1626" w:rsidRPr="00CE66BE">
        <w:rPr>
          <w:rFonts w:cstheme="minorHAnsi"/>
          <w:sz w:val="24"/>
          <w:szCs w:val="24"/>
          <w:lang w:val="en-GB"/>
        </w:rPr>
        <w:t>countries</w:t>
      </w:r>
      <w:r w:rsidR="00B21C1C" w:rsidRPr="00CE66BE">
        <w:rPr>
          <w:rFonts w:cstheme="minorHAnsi"/>
          <w:sz w:val="24"/>
          <w:szCs w:val="24"/>
          <w:lang w:val="en-GB"/>
        </w:rPr>
        <w:t xml:space="preserve"> compared with developing countries</w:t>
      </w:r>
      <w:r w:rsidR="00D54340" w:rsidRPr="00CE66BE">
        <w:rPr>
          <w:rFonts w:cstheme="minorHAnsi"/>
          <w:sz w:val="24"/>
          <w:szCs w:val="24"/>
          <w:lang w:val="en-GB"/>
        </w:rPr>
        <w:t>, the relative contribut</w:t>
      </w:r>
      <w:r w:rsidR="004622FC" w:rsidRPr="00CE66BE">
        <w:rPr>
          <w:rFonts w:cstheme="minorHAnsi"/>
          <w:sz w:val="24"/>
          <w:szCs w:val="24"/>
          <w:lang w:val="en-GB"/>
        </w:rPr>
        <w:t>ion</w:t>
      </w:r>
      <w:r w:rsidR="00D54340" w:rsidRPr="00CE66BE">
        <w:rPr>
          <w:rFonts w:cstheme="minorHAnsi"/>
          <w:sz w:val="24"/>
          <w:szCs w:val="24"/>
          <w:lang w:val="en-GB"/>
        </w:rPr>
        <w:t xml:space="preserve"> of CAs</w:t>
      </w:r>
      <w:r w:rsidR="00DE31A9" w:rsidRPr="00CE66BE">
        <w:rPr>
          <w:rFonts w:cstheme="minorHAnsi"/>
          <w:sz w:val="24"/>
          <w:szCs w:val="24"/>
          <w:lang w:val="en-GB"/>
        </w:rPr>
        <w:t xml:space="preserve"> to infant mortality is higher</w:t>
      </w:r>
      <w:r w:rsidR="00D54340" w:rsidRPr="00CE66BE">
        <w:rPr>
          <w:rFonts w:cstheme="minorHAnsi"/>
          <w:sz w:val="24"/>
          <w:szCs w:val="24"/>
          <w:lang w:val="en-GB"/>
        </w:rPr>
        <w:t xml:space="preserve"> due to the </w:t>
      </w:r>
      <w:r w:rsidR="009250EC" w:rsidRPr="00CE66BE">
        <w:rPr>
          <w:rFonts w:cstheme="minorHAnsi"/>
          <w:sz w:val="24"/>
          <w:szCs w:val="24"/>
          <w:lang w:val="en-GB"/>
        </w:rPr>
        <w:t>lower</w:t>
      </w:r>
      <w:r w:rsidR="00D54340" w:rsidRPr="00CE66BE">
        <w:rPr>
          <w:rFonts w:cstheme="minorHAnsi"/>
          <w:sz w:val="24"/>
          <w:szCs w:val="24"/>
          <w:lang w:val="en-GB"/>
        </w:rPr>
        <w:t xml:space="preserve"> mortality f</w:t>
      </w:r>
      <w:r w:rsidR="00BF5FE2" w:rsidRPr="00CE66BE">
        <w:rPr>
          <w:rFonts w:cstheme="minorHAnsi"/>
          <w:sz w:val="24"/>
          <w:szCs w:val="24"/>
          <w:lang w:val="en-GB"/>
        </w:rPr>
        <w:t>rom</w:t>
      </w:r>
      <w:r w:rsidR="00D54340" w:rsidRPr="00CE66BE">
        <w:rPr>
          <w:rFonts w:cstheme="minorHAnsi"/>
          <w:sz w:val="24"/>
          <w:szCs w:val="24"/>
          <w:lang w:val="en-GB"/>
        </w:rPr>
        <w:t xml:space="preserve"> communicable</w:t>
      </w:r>
      <w:r w:rsidR="00CA766A" w:rsidRPr="00CE66BE">
        <w:rPr>
          <w:rFonts w:cstheme="minorHAnsi"/>
          <w:sz w:val="24"/>
          <w:szCs w:val="24"/>
          <w:lang w:val="en-GB"/>
        </w:rPr>
        <w:t xml:space="preserve"> </w:t>
      </w:r>
      <w:r w:rsidR="00754F3C">
        <w:rPr>
          <w:rFonts w:cstheme="minorHAnsi"/>
          <w:sz w:val="24"/>
          <w:szCs w:val="24"/>
          <w:lang w:val="en-GB"/>
        </w:rPr>
        <w:t>diseases.</w:t>
      </w:r>
      <w:r w:rsidR="000D2541" w:rsidRPr="00754F3C">
        <w:rPr>
          <w:rFonts w:cstheme="minorHAnsi"/>
          <w:sz w:val="24"/>
          <w:szCs w:val="24"/>
          <w:vertAlign w:val="superscript"/>
          <w:lang w:val="en-GB"/>
        </w:rPr>
        <w:t>4</w:t>
      </w:r>
      <w:r w:rsidR="00A63C00" w:rsidRPr="00754F3C">
        <w:rPr>
          <w:rFonts w:cstheme="minorHAnsi"/>
          <w:sz w:val="24"/>
          <w:szCs w:val="24"/>
          <w:vertAlign w:val="superscript"/>
          <w:lang w:val="en-GB"/>
        </w:rPr>
        <w:t>-6</w:t>
      </w:r>
      <w:r w:rsidR="002F1AC1" w:rsidRPr="00CE66BE">
        <w:rPr>
          <w:rFonts w:cstheme="minorHAnsi"/>
          <w:sz w:val="24"/>
          <w:szCs w:val="24"/>
          <w:lang w:val="en-GB"/>
        </w:rPr>
        <w:t xml:space="preserve"> </w:t>
      </w:r>
      <w:r w:rsidR="00D54340" w:rsidRPr="00CE66BE">
        <w:rPr>
          <w:rFonts w:cstheme="minorHAnsi"/>
          <w:sz w:val="24"/>
          <w:szCs w:val="24"/>
          <w:lang w:val="en-GB"/>
        </w:rPr>
        <w:t>CAs are also a significant contributor to mortality of children under 5 years and in childhood</w:t>
      </w:r>
      <w:r w:rsidR="00754F3C">
        <w:rPr>
          <w:rFonts w:cstheme="minorHAnsi"/>
          <w:sz w:val="24"/>
          <w:szCs w:val="24"/>
          <w:lang w:val="en-GB"/>
        </w:rPr>
        <w:t>.</w:t>
      </w:r>
      <w:r w:rsidR="00A63C00" w:rsidRPr="00754F3C">
        <w:rPr>
          <w:rFonts w:cstheme="minorHAnsi"/>
          <w:sz w:val="24"/>
          <w:szCs w:val="24"/>
          <w:vertAlign w:val="superscript"/>
          <w:lang w:val="en-GB"/>
        </w:rPr>
        <w:t>7</w:t>
      </w:r>
      <w:r w:rsidR="00487298" w:rsidRPr="00754F3C">
        <w:rPr>
          <w:rFonts w:cstheme="minorHAnsi"/>
          <w:sz w:val="24"/>
          <w:szCs w:val="24"/>
          <w:vertAlign w:val="superscript"/>
          <w:lang w:val="en-GB"/>
        </w:rPr>
        <w:t>,</w:t>
      </w:r>
      <w:r w:rsidR="00A63C00" w:rsidRPr="00754F3C">
        <w:rPr>
          <w:rFonts w:cstheme="minorHAnsi"/>
          <w:sz w:val="24"/>
          <w:szCs w:val="24"/>
          <w:vertAlign w:val="superscript"/>
          <w:lang w:val="en-GB"/>
        </w:rPr>
        <w:t>8</w:t>
      </w:r>
      <w:r w:rsidR="005367C8" w:rsidRPr="00CE66BE">
        <w:rPr>
          <w:rFonts w:cstheme="minorHAnsi"/>
          <w:sz w:val="24"/>
          <w:szCs w:val="24"/>
          <w:lang w:val="en-GB"/>
        </w:rPr>
        <w:t xml:space="preserve"> </w:t>
      </w:r>
    </w:p>
    <w:p w14:paraId="503317E6" w14:textId="70C0D2A1" w:rsidR="00CA4B03" w:rsidRPr="00CE66BE" w:rsidRDefault="000F090F" w:rsidP="00754F3C">
      <w:pPr>
        <w:autoSpaceDE w:val="0"/>
        <w:autoSpaceDN w:val="0"/>
        <w:adjustRightInd w:val="0"/>
        <w:spacing w:after="0" w:line="480" w:lineRule="auto"/>
        <w:rPr>
          <w:rFonts w:cstheme="minorHAnsi"/>
          <w:sz w:val="24"/>
          <w:szCs w:val="24"/>
          <w:lang w:val="en-GB"/>
        </w:rPr>
      </w:pPr>
      <w:r w:rsidRPr="00CE66BE">
        <w:rPr>
          <w:rFonts w:cstheme="minorHAnsi"/>
          <w:sz w:val="24"/>
          <w:szCs w:val="24"/>
          <w:lang w:val="en-GB"/>
        </w:rPr>
        <w:t>Two recent systematic reviews and meta-analyses of population-based studies reported a general improvement in long-term survival of children with congenital heart defects (CHD</w:t>
      </w:r>
      <w:proofErr w:type="gramStart"/>
      <w:r w:rsidR="00754F3C">
        <w:rPr>
          <w:rFonts w:cstheme="minorHAnsi"/>
          <w:sz w:val="24"/>
          <w:szCs w:val="24"/>
          <w:lang w:val="en-GB"/>
        </w:rPr>
        <w:t>)</w:t>
      </w:r>
      <w:r w:rsidR="00A63C00" w:rsidRPr="00754F3C">
        <w:rPr>
          <w:rFonts w:cstheme="minorHAnsi"/>
          <w:sz w:val="24"/>
          <w:szCs w:val="24"/>
          <w:vertAlign w:val="superscript"/>
          <w:lang w:val="en-GB"/>
        </w:rPr>
        <w:t>9</w:t>
      </w:r>
      <w:proofErr w:type="gramEnd"/>
      <w:r w:rsidR="00754F3C">
        <w:rPr>
          <w:rFonts w:cstheme="minorHAnsi"/>
          <w:sz w:val="24"/>
          <w:szCs w:val="24"/>
          <w:lang w:val="en-GB"/>
        </w:rPr>
        <w:t xml:space="preserve"> and other specific CAs</w:t>
      </w:r>
      <w:r w:rsidR="00A63C00" w:rsidRPr="00754F3C">
        <w:rPr>
          <w:rFonts w:cstheme="minorHAnsi"/>
          <w:sz w:val="24"/>
          <w:szCs w:val="24"/>
          <w:vertAlign w:val="superscript"/>
          <w:lang w:val="en-GB"/>
        </w:rPr>
        <w:t>10</w:t>
      </w:r>
      <w:r w:rsidRPr="00CE66BE">
        <w:rPr>
          <w:rFonts w:cstheme="minorHAnsi"/>
          <w:sz w:val="24"/>
          <w:szCs w:val="24"/>
          <w:lang w:val="en-GB"/>
        </w:rPr>
        <w:t xml:space="preserve"> over the last few decades. </w:t>
      </w:r>
      <w:r w:rsidR="00CE5DE5" w:rsidRPr="00CE66BE">
        <w:rPr>
          <w:rFonts w:cstheme="minorHAnsi"/>
          <w:sz w:val="24"/>
          <w:szCs w:val="24"/>
          <w:lang w:val="en-GB"/>
        </w:rPr>
        <w:t xml:space="preserve">Despite reported improvements in long-term </w:t>
      </w:r>
      <w:r w:rsidRPr="00CE66BE">
        <w:rPr>
          <w:rFonts w:cstheme="minorHAnsi"/>
          <w:sz w:val="24"/>
          <w:szCs w:val="24"/>
          <w:lang w:val="en-GB"/>
        </w:rPr>
        <w:t xml:space="preserve">survival, </w:t>
      </w:r>
      <w:r w:rsidR="005367C8" w:rsidRPr="00CE66BE">
        <w:rPr>
          <w:rFonts w:cstheme="minorHAnsi"/>
          <w:sz w:val="24"/>
          <w:szCs w:val="24"/>
          <w:lang w:val="en-GB"/>
        </w:rPr>
        <w:t xml:space="preserve">CAs have an important role </w:t>
      </w:r>
      <w:r w:rsidR="00AE7DD1" w:rsidRPr="00CE66BE">
        <w:rPr>
          <w:rFonts w:cstheme="minorHAnsi"/>
          <w:sz w:val="24"/>
          <w:szCs w:val="24"/>
          <w:lang w:val="en-GB"/>
        </w:rPr>
        <w:t>when</w:t>
      </w:r>
      <w:r w:rsidR="005367C8" w:rsidRPr="00CE66BE">
        <w:rPr>
          <w:rFonts w:cstheme="minorHAnsi"/>
          <w:sz w:val="24"/>
          <w:szCs w:val="24"/>
          <w:lang w:val="en-GB"/>
        </w:rPr>
        <w:t xml:space="preserve"> interpreting the regional differences in neonatal, infant and child mortality reported </w:t>
      </w:r>
      <w:r w:rsidR="00754F3C">
        <w:rPr>
          <w:rFonts w:cstheme="minorHAnsi"/>
          <w:sz w:val="24"/>
          <w:szCs w:val="24"/>
          <w:lang w:val="en-GB"/>
        </w:rPr>
        <w:t>across the European countries</w:t>
      </w:r>
      <w:r w:rsidR="005367C8" w:rsidRPr="00CE66BE">
        <w:rPr>
          <w:rFonts w:cstheme="minorHAnsi"/>
          <w:sz w:val="24"/>
          <w:szCs w:val="24"/>
          <w:lang w:val="en-GB"/>
        </w:rPr>
        <w:t>.</w:t>
      </w:r>
      <w:r w:rsidR="00754F3C" w:rsidRPr="00754F3C">
        <w:rPr>
          <w:rFonts w:cstheme="minorHAnsi"/>
          <w:sz w:val="24"/>
          <w:szCs w:val="24"/>
          <w:vertAlign w:val="superscript"/>
          <w:lang w:val="en-GB"/>
        </w:rPr>
        <w:t>11-1</w:t>
      </w:r>
      <w:r w:rsidR="005D5C9C">
        <w:rPr>
          <w:rFonts w:cstheme="minorHAnsi"/>
          <w:sz w:val="24"/>
          <w:szCs w:val="24"/>
          <w:vertAlign w:val="superscript"/>
          <w:lang w:val="en-GB"/>
        </w:rPr>
        <w:t>4</w:t>
      </w:r>
      <w:r w:rsidR="005367C8" w:rsidRPr="00CE66BE">
        <w:rPr>
          <w:rFonts w:cstheme="minorHAnsi"/>
          <w:sz w:val="24"/>
          <w:szCs w:val="24"/>
          <w:lang w:val="en-GB"/>
        </w:rPr>
        <w:t xml:space="preserve"> National statistics on the contribution of CAs to infant and child mortality are generally based on the analysis of the </w:t>
      </w:r>
      <w:r w:rsidR="009D199F" w:rsidRPr="00CE66BE">
        <w:rPr>
          <w:rFonts w:cstheme="minorHAnsi"/>
          <w:sz w:val="24"/>
          <w:szCs w:val="24"/>
          <w:lang w:val="en-GB"/>
        </w:rPr>
        <w:t xml:space="preserve">underlying </w:t>
      </w:r>
      <w:r w:rsidR="005367C8" w:rsidRPr="00CE66BE">
        <w:rPr>
          <w:rFonts w:cstheme="minorHAnsi"/>
          <w:sz w:val="24"/>
          <w:szCs w:val="24"/>
          <w:lang w:val="en-GB"/>
        </w:rPr>
        <w:t>cause of death from death certificates.</w:t>
      </w:r>
      <w:r w:rsidR="00B15B56" w:rsidRPr="00CE66BE">
        <w:rPr>
          <w:rFonts w:cstheme="minorHAnsi"/>
          <w:sz w:val="24"/>
          <w:szCs w:val="24"/>
          <w:lang w:val="en-GB"/>
        </w:rPr>
        <w:t xml:space="preserve"> </w:t>
      </w:r>
      <w:r w:rsidR="00A17F7A" w:rsidRPr="00CE66BE">
        <w:rPr>
          <w:rFonts w:cstheme="minorHAnsi"/>
          <w:sz w:val="24"/>
          <w:szCs w:val="24"/>
          <w:lang w:val="en-GB"/>
        </w:rPr>
        <w:t xml:space="preserve">In Europe, deaths with a </w:t>
      </w:r>
      <w:r w:rsidR="00CA766A" w:rsidRPr="00CE66BE">
        <w:rPr>
          <w:rFonts w:cstheme="minorHAnsi"/>
          <w:sz w:val="24"/>
          <w:szCs w:val="24"/>
          <w:lang w:val="en-GB"/>
        </w:rPr>
        <w:t>CA</w:t>
      </w:r>
      <w:r w:rsidR="00A17F7A" w:rsidRPr="00CE66BE">
        <w:rPr>
          <w:rFonts w:cstheme="minorHAnsi"/>
          <w:sz w:val="24"/>
          <w:szCs w:val="24"/>
          <w:lang w:val="en-GB"/>
        </w:rPr>
        <w:t xml:space="preserve"> as the main cause are about 25% of all deaths of children aged less than 10 years</w:t>
      </w:r>
      <w:r w:rsidR="00B15B56" w:rsidRPr="00CE66BE">
        <w:rPr>
          <w:rFonts w:cstheme="minorHAnsi"/>
          <w:sz w:val="24"/>
          <w:szCs w:val="24"/>
          <w:lang w:val="en-GB"/>
        </w:rPr>
        <w:t>.</w:t>
      </w:r>
      <w:r w:rsidR="001338C6">
        <w:rPr>
          <w:rFonts w:cstheme="minorHAnsi"/>
          <w:sz w:val="24"/>
          <w:szCs w:val="24"/>
          <w:vertAlign w:val="superscript"/>
          <w:lang w:val="en-GB"/>
        </w:rPr>
        <w:t>15</w:t>
      </w:r>
      <w:r w:rsidR="001338C6" w:rsidRPr="00CE66BE">
        <w:rPr>
          <w:rFonts w:cstheme="minorHAnsi"/>
          <w:sz w:val="24"/>
          <w:szCs w:val="24"/>
          <w:lang w:val="en-GB"/>
        </w:rPr>
        <w:t xml:space="preserve"> </w:t>
      </w:r>
      <w:r w:rsidR="005367C8" w:rsidRPr="00CE66BE">
        <w:rPr>
          <w:rFonts w:cstheme="minorHAnsi"/>
          <w:sz w:val="24"/>
          <w:szCs w:val="24"/>
          <w:lang w:val="en-GB"/>
        </w:rPr>
        <w:t>However, for children with CAs, the analysis of the underlying cause of death from death certificates underestimates the mortality risk due to CA among these children.</w:t>
      </w:r>
      <w:r w:rsidR="001338C6">
        <w:rPr>
          <w:rFonts w:cstheme="minorHAnsi"/>
          <w:sz w:val="24"/>
          <w:szCs w:val="24"/>
          <w:vertAlign w:val="superscript"/>
          <w:lang w:val="en-GB"/>
        </w:rPr>
        <w:t>16</w:t>
      </w:r>
      <w:proofErr w:type="gramStart"/>
      <w:r w:rsidR="001338C6">
        <w:rPr>
          <w:rFonts w:cstheme="minorHAnsi"/>
          <w:sz w:val="24"/>
          <w:szCs w:val="24"/>
          <w:vertAlign w:val="superscript"/>
          <w:lang w:val="en-GB"/>
        </w:rPr>
        <w:t>,17</w:t>
      </w:r>
      <w:proofErr w:type="gramEnd"/>
      <w:r w:rsidR="00935EBB">
        <w:rPr>
          <w:rFonts w:cstheme="minorHAnsi"/>
          <w:sz w:val="24"/>
          <w:szCs w:val="24"/>
          <w:lang w:val="en-GB"/>
        </w:rPr>
        <w:t xml:space="preserve"> </w:t>
      </w:r>
      <w:r w:rsidR="005367C8" w:rsidRPr="00CE66BE">
        <w:rPr>
          <w:rFonts w:cstheme="minorHAnsi"/>
          <w:sz w:val="24"/>
          <w:szCs w:val="24"/>
          <w:lang w:val="en-GB"/>
        </w:rPr>
        <w:t xml:space="preserve">Copeland et al. suggested that the most accurate way to analyse the mortality risk among children with CAs is to link </w:t>
      </w:r>
      <w:r w:rsidR="00CE5DE5" w:rsidRPr="00CE66BE">
        <w:rPr>
          <w:rFonts w:cstheme="minorHAnsi"/>
          <w:sz w:val="24"/>
          <w:szCs w:val="24"/>
          <w:lang w:val="en-GB"/>
        </w:rPr>
        <w:t xml:space="preserve">births reported in CA </w:t>
      </w:r>
      <w:r w:rsidR="005367C8" w:rsidRPr="00CE66BE">
        <w:rPr>
          <w:rFonts w:cstheme="minorHAnsi"/>
          <w:sz w:val="24"/>
          <w:szCs w:val="24"/>
          <w:lang w:val="en-GB"/>
        </w:rPr>
        <w:t>registries to mortality data</w:t>
      </w:r>
      <w:r w:rsidR="00935EBB">
        <w:rPr>
          <w:rFonts w:cstheme="minorHAnsi"/>
          <w:sz w:val="24"/>
          <w:szCs w:val="24"/>
          <w:lang w:val="en-GB"/>
        </w:rPr>
        <w:t>.</w:t>
      </w:r>
      <w:r w:rsidR="001338C6">
        <w:rPr>
          <w:rFonts w:cstheme="minorHAnsi"/>
          <w:sz w:val="24"/>
          <w:szCs w:val="24"/>
          <w:vertAlign w:val="superscript"/>
          <w:lang w:val="en-GB"/>
        </w:rPr>
        <w:t>16</w:t>
      </w:r>
    </w:p>
    <w:p w14:paraId="4376E430" w14:textId="3EB4B986" w:rsidR="00825A7D" w:rsidRPr="00CE66BE" w:rsidRDefault="00CA4B03" w:rsidP="00754F3C">
      <w:pPr>
        <w:spacing w:after="0" w:line="480" w:lineRule="auto"/>
        <w:rPr>
          <w:rFonts w:cstheme="minorHAnsi"/>
          <w:iCs/>
          <w:sz w:val="24"/>
          <w:szCs w:val="24"/>
          <w:lang w:val="en-US"/>
        </w:rPr>
      </w:pPr>
      <w:r w:rsidRPr="00CE66BE">
        <w:rPr>
          <w:rFonts w:cstheme="minorHAnsi"/>
          <w:sz w:val="24"/>
          <w:szCs w:val="24"/>
          <w:lang w:val="en-GB"/>
        </w:rPr>
        <w:t>Associations of survival with other factors</w:t>
      </w:r>
      <w:r w:rsidR="00DE2799" w:rsidRPr="00CE66BE">
        <w:rPr>
          <w:rFonts w:cstheme="minorHAnsi"/>
          <w:sz w:val="24"/>
          <w:szCs w:val="24"/>
          <w:lang w:val="en-GB"/>
        </w:rPr>
        <w:t xml:space="preserve">, </w:t>
      </w:r>
      <w:r w:rsidR="00825A7D" w:rsidRPr="00CE66BE">
        <w:rPr>
          <w:rFonts w:cstheme="minorHAnsi"/>
          <w:sz w:val="24"/>
          <w:szCs w:val="24"/>
          <w:lang w:val="en-GB"/>
        </w:rPr>
        <w:t xml:space="preserve">such as the occurrence of termination of pregnancy for </w:t>
      </w:r>
      <w:proofErr w:type="spellStart"/>
      <w:r w:rsidR="00825A7D" w:rsidRPr="00CE66BE">
        <w:rPr>
          <w:rFonts w:cstheme="minorHAnsi"/>
          <w:sz w:val="24"/>
          <w:szCs w:val="24"/>
          <w:lang w:val="en-GB"/>
        </w:rPr>
        <w:t>fetal</w:t>
      </w:r>
      <w:proofErr w:type="spellEnd"/>
      <w:r w:rsidR="00825A7D" w:rsidRPr="00CE66BE">
        <w:rPr>
          <w:rFonts w:cstheme="minorHAnsi"/>
          <w:sz w:val="24"/>
          <w:szCs w:val="24"/>
          <w:lang w:val="en-GB"/>
        </w:rPr>
        <w:t xml:space="preserve"> anomalies</w:t>
      </w:r>
      <w:r w:rsidR="001B71DA" w:rsidRPr="00CE66BE">
        <w:rPr>
          <w:rFonts w:cstheme="minorHAnsi"/>
          <w:sz w:val="24"/>
          <w:szCs w:val="24"/>
          <w:lang w:val="en-GB"/>
        </w:rPr>
        <w:t xml:space="preserve"> (TOPFA)</w:t>
      </w:r>
      <w:r w:rsidR="00825A7D" w:rsidRPr="00CE66BE">
        <w:rPr>
          <w:rFonts w:cstheme="minorHAnsi"/>
          <w:sz w:val="24"/>
          <w:szCs w:val="24"/>
          <w:lang w:val="en-GB"/>
        </w:rPr>
        <w:t xml:space="preserve">, should be investigated. In </w:t>
      </w:r>
      <w:r w:rsidR="00825A7D" w:rsidRPr="00CE66BE">
        <w:rPr>
          <w:rFonts w:cstheme="minorHAnsi"/>
          <w:iCs/>
          <w:sz w:val="24"/>
          <w:szCs w:val="24"/>
          <w:lang w:val="en-US"/>
        </w:rPr>
        <w:t>countries where termination of pregnancy is illegal</w:t>
      </w:r>
      <w:r w:rsidR="00CA766A" w:rsidRPr="00CE66BE">
        <w:rPr>
          <w:rFonts w:cstheme="minorHAnsi"/>
          <w:iCs/>
          <w:sz w:val="24"/>
          <w:szCs w:val="24"/>
          <w:lang w:val="en-US"/>
        </w:rPr>
        <w:t xml:space="preserve"> (for example Malta)</w:t>
      </w:r>
      <w:r w:rsidR="00825A7D" w:rsidRPr="00CE66BE">
        <w:rPr>
          <w:rFonts w:cstheme="minorHAnsi"/>
          <w:iCs/>
          <w:sz w:val="24"/>
          <w:szCs w:val="24"/>
          <w:lang w:val="en-US"/>
        </w:rPr>
        <w:t xml:space="preserve">, babies with lethal </w:t>
      </w:r>
      <w:r w:rsidR="00CA766A" w:rsidRPr="00CE66BE">
        <w:rPr>
          <w:rFonts w:cstheme="minorHAnsi"/>
          <w:iCs/>
          <w:sz w:val="24"/>
          <w:szCs w:val="24"/>
          <w:lang w:val="en-US"/>
        </w:rPr>
        <w:t>CAs</w:t>
      </w:r>
      <w:r w:rsidR="00825A7D" w:rsidRPr="00CE66BE">
        <w:rPr>
          <w:rFonts w:cstheme="minorHAnsi"/>
          <w:iCs/>
          <w:sz w:val="24"/>
          <w:szCs w:val="24"/>
          <w:lang w:val="en-US"/>
        </w:rPr>
        <w:t xml:space="preserve"> may survive </w:t>
      </w:r>
      <w:r w:rsidR="00825A7D" w:rsidRPr="00CE66BE">
        <w:rPr>
          <w:rFonts w:cstheme="minorHAnsi"/>
          <w:iCs/>
          <w:sz w:val="24"/>
          <w:szCs w:val="24"/>
          <w:lang w:val="en-US"/>
        </w:rPr>
        <w:lastRenderedPageBreak/>
        <w:t>birth, succumbing soon after and inflating the mortali</w:t>
      </w:r>
      <w:r w:rsidR="00935EBB">
        <w:rPr>
          <w:rFonts w:cstheme="minorHAnsi"/>
          <w:iCs/>
          <w:sz w:val="24"/>
          <w:szCs w:val="24"/>
          <w:lang w:val="en-US"/>
        </w:rPr>
        <w:t>ty rates in the neonatal period.</w:t>
      </w:r>
      <w:r w:rsidR="001338C6">
        <w:rPr>
          <w:rFonts w:cstheme="minorHAnsi"/>
          <w:sz w:val="24"/>
          <w:szCs w:val="24"/>
          <w:vertAlign w:val="superscript"/>
          <w:lang w:val="en-GB"/>
        </w:rPr>
        <w:t>18</w:t>
      </w:r>
      <w:r w:rsidR="001338C6" w:rsidRPr="00CE66BE">
        <w:rPr>
          <w:rFonts w:cstheme="minorHAnsi"/>
          <w:iCs/>
          <w:sz w:val="24"/>
          <w:szCs w:val="24"/>
          <w:lang w:val="en-US"/>
        </w:rPr>
        <w:t xml:space="preserve"> </w:t>
      </w:r>
      <w:r w:rsidR="00825A7D" w:rsidRPr="00CE66BE">
        <w:rPr>
          <w:rFonts w:cstheme="minorHAnsi"/>
          <w:iCs/>
          <w:sz w:val="24"/>
          <w:szCs w:val="24"/>
          <w:lang w:val="en-US"/>
        </w:rPr>
        <w:t xml:space="preserve">However, when births with </w:t>
      </w:r>
      <w:r w:rsidR="00CA766A" w:rsidRPr="00CE66BE">
        <w:rPr>
          <w:rFonts w:cstheme="minorHAnsi"/>
          <w:iCs/>
          <w:sz w:val="24"/>
          <w:szCs w:val="24"/>
          <w:lang w:val="en-US"/>
        </w:rPr>
        <w:t>CAs</w:t>
      </w:r>
      <w:r w:rsidR="00825A7D" w:rsidRPr="00CE66BE">
        <w:rPr>
          <w:rFonts w:cstheme="minorHAnsi"/>
          <w:iCs/>
          <w:sz w:val="24"/>
          <w:szCs w:val="24"/>
          <w:lang w:val="en-US"/>
        </w:rPr>
        <w:t xml:space="preserve"> are excluded, neonatal mortality in such countries is mo</w:t>
      </w:r>
      <w:r w:rsidR="00935EBB">
        <w:rPr>
          <w:rFonts w:cstheme="minorHAnsi"/>
          <w:iCs/>
          <w:sz w:val="24"/>
          <w:szCs w:val="24"/>
          <w:lang w:val="en-US"/>
        </w:rPr>
        <w:t>re in line with other countries</w:t>
      </w:r>
      <w:r w:rsidR="00B15B56" w:rsidRPr="00CE66BE">
        <w:rPr>
          <w:rFonts w:cstheme="minorHAnsi"/>
          <w:iCs/>
          <w:sz w:val="24"/>
          <w:szCs w:val="24"/>
          <w:lang w:val="en-US"/>
        </w:rPr>
        <w:t>.</w:t>
      </w:r>
      <w:r w:rsidR="001338C6">
        <w:rPr>
          <w:rFonts w:cstheme="minorHAnsi"/>
          <w:iCs/>
          <w:sz w:val="24"/>
          <w:szCs w:val="24"/>
          <w:vertAlign w:val="superscript"/>
          <w:lang w:val="en-US"/>
        </w:rPr>
        <w:t>19</w:t>
      </w:r>
    </w:p>
    <w:p w14:paraId="2234E140" w14:textId="08613CF1" w:rsidR="005367C8" w:rsidRPr="00CE66BE" w:rsidRDefault="005367C8" w:rsidP="00754F3C">
      <w:pPr>
        <w:spacing w:after="0" w:line="480" w:lineRule="auto"/>
        <w:rPr>
          <w:rFonts w:cstheme="minorHAnsi"/>
          <w:sz w:val="24"/>
          <w:szCs w:val="24"/>
          <w:lang w:val="en-GB"/>
        </w:rPr>
      </w:pPr>
      <w:r w:rsidRPr="00CE66BE">
        <w:rPr>
          <w:rFonts w:cstheme="minorHAnsi"/>
          <w:sz w:val="24"/>
          <w:szCs w:val="24"/>
          <w:lang w:val="en-GB"/>
        </w:rPr>
        <w:t xml:space="preserve">The aim of this </w:t>
      </w:r>
      <w:proofErr w:type="spellStart"/>
      <w:r w:rsidRPr="00CE66BE">
        <w:rPr>
          <w:rFonts w:cstheme="minorHAnsi"/>
          <w:sz w:val="24"/>
          <w:szCs w:val="24"/>
          <w:lang w:val="en-GB"/>
        </w:rPr>
        <w:t>EUROlinkCAT</w:t>
      </w:r>
      <w:proofErr w:type="spellEnd"/>
      <w:r w:rsidRPr="00CE66BE">
        <w:rPr>
          <w:rFonts w:cstheme="minorHAnsi"/>
          <w:sz w:val="24"/>
          <w:szCs w:val="24"/>
          <w:lang w:val="en-GB"/>
        </w:rPr>
        <w:t xml:space="preserve"> multicentre study was to</w:t>
      </w:r>
      <w:r w:rsidR="00CE5DE5" w:rsidRPr="00CE66BE">
        <w:rPr>
          <w:rFonts w:cstheme="minorHAnsi"/>
          <w:sz w:val="24"/>
          <w:szCs w:val="24"/>
          <w:lang w:val="en-GB"/>
        </w:rPr>
        <w:t xml:space="preserve"> </w:t>
      </w:r>
      <w:r w:rsidRPr="00CE66BE">
        <w:rPr>
          <w:rFonts w:cstheme="minorHAnsi"/>
          <w:sz w:val="24"/>
          <w:szCs w:val="24"/>
          <w:lang w:val="en-GB"/>
        </w:rPr>
        <w:t>investigate temporal changes and geographical variation</w:t>
      </w:r>
      <w:r w:rsidR="00CE5DE5" w:rsidRPr="00CE66BE">
        <w:rPr>
          <w:rFonts w:cstheme="minorHAnsi"/>
          <w:sz w:val="24"/>
          <w:szCs w:val="24"/>
          <w:lang w:val="en-GB"/>
        </w:rPr>
        <w:t>s</w:t>
      </w:r>
      <w:r w:rsidRPr="00CE66BE">
        <w:rPr>
          <w:rFonts w:cstheme="minorHAnsi"/>
          <w:sz w:val="24"/>
          <w:szCs w:val="24"/>
          <w:lang w:val="en-GB"/>
        </w:rPr>
        <w:t xml:space="preserve"> in survival of children with CAs in different European areas by linking </w:t>
      </w:r>
      <w:r w:rsidR="00CE5DE5" w:rsidRPr="00CE66BE">
        <w:rPr>
          <w:rFonts w:cstheme="minorHAnsi"/>
          <w:sz w:val="24"/>
          <w:szCs w:val="24"/>
          <w:lang w:val="en-GB"/>
        </w:rPr>
        <w:t xml:space="preserve">births reported in </w:t>
      </w:r>
      <w:r w:rsidR="00935EBB">
        <w:rPr>
          <w:rFonts w:cstheme="minorHAnsi"/>
          <w:sz w:val="24"/>
          <w:szCs w:val="24"/>
          <w:lang w:val="en-GB"/>
        </w:rPr>
        <w:t>CA registries to mortality data</w:t>
      </w:r>
      <w:r w:rsidR="001338C6">
        <w:rPr>
          <w:rFonts w:cstheme="minorHAnsi"/>
          <w:sz w:val="24"/>
          <w:szCs w:val="24"/>
          <w:vertAlign w:val="superscript"/>
          <w:lang w:val="en-GB"/>
        </w:rPr>
        <w:t>20</w:t>
      </w:r>
      <w:r w:rsidR="00CA4B03" w:rsidRPr="00CE66BE">
        <w:rPr>
          <w:rFonts w:cstheme="minorHAnsi"/>
          <w:sz w:val="24"/>
          <w:szCs w:val="24"/>
          <w:lang w:val="en-GB"/>
        </w:rPr>
        <w:t xml:space="preserve"> and to describe some methodological issues in studying survival of children with CAs in Europe.</w:t>
      </w:r>
      <w:r w:rsidR="00A747D0" w:rsidRPr="00CE66BE">
        <w:rPr>
          <w:rFonts w:cstheme="minorHAnsi"/>
          <w:sz w:val="24"/>
          <w:szCs w:val="24"/>
          <w:lang w:val="en-GB"/>
        </w:rPr>
        <w:t xml:space="preserve"> </w:t>
      </w:r>
    </w:p>
    <w:p w14:paraId="3508E53A" w14:textId="19451923" w:rsidR="00E34D40" w:rsidRPr="00CE66BE" w:rsidRDefault="00A747D0" w:rsidP="00754F3C">
      <w:pPr>
        <w:pStyle w:val="Paragrafoelenco"/>
        <w:spacing w:after="0" w:line="480" w:lineRule="auto"/>
        <w:ind w:left="0"/>
        <w:rPr>
          <w:rFonts w:cstheme="minorHAnsi"/>
          <w:sz w:val="24"/>
          <w:szCs w:val="24"/>
          <w:lang w:val="en-GB"/>
        </w:rPr>
      </w:pPr>
      <w:r w:rsidRPr="00CE66BE">
        <w:rPr>
          <w:rFonts w:cstheme="minorHAnsi"/>
          <w:sz w:val="24"/>
          <w:szCs w:val="24"/>
          <w:lang w:val="en-GB"/>
        </w:rPr>
        <w:t xml:space="preserve"> </w:t>
      </w:r>
    </w:p>
    <w:p w14:paraId="3C3D0C96" w14:textId="5B4A641B" w:rsidR="00A23582" w:rsidRDefault="00A23582" w:rsidP="00754F3C">
      <w:pPr>
        <w:spacing w:after="0" w:line="480" w:lineRule="auto"/>
        <w:rPr>
          <w:rFonts w:cstheme="minorHAnsi"/>
          <w:b/>
          <w:sz w:val="24"/>
          <w:szCs w:val="24"/>
          <w:lang w:val="en-GB"/>
        </w:rPr>
      </w:pPr>
      <w:r w:rsidRPr="00CE66BE">
        <w:rPr>
          <w:rFonts w:cstheme="minorHAnsi"/>
          <w:b/>
          <w:sz w:val="24"/>
          <w:szCs w:val="24"/>
          <w:lang w:val="en-GB"/>
        </w:rPr>
        <w:t>METHODS</w:t>
      </w:r>
    </w:p>
    <w:p w14:paraId="4FEF4E7A" w14:textId="36F4AB55" w:rsidR="00F6227F" w:rsidRPr="00CE66BE" w:rsidRDefault="00F6227F" w:rsidP="00754F3C">
      <w:pPr>
        <w:spacing w:after="0" w:line="480" w:lineRule="auto"/>
        <w:rPr>
          <w:rFonts w:cstheme="minorHAnsi"/>
          <w:b/>
          <w:sz w:val="24"/>
          <w:szCs w:val="24"/>
          <w:lang w:val="en-GB"/>
        </w:rPr>
      </w:pPr>
      <w:r>
        <w:rPr>
          <w:rFonts w:cstheme="minorHAnsi"/>
          <w:b/>
          <w:sz w:val="24"/>
          <w:szCs w:val="24"/>
          <w:lang w:val="en-GB"/>
        </w:rPr>
        <w:t xml:space="preserve">Cohort </w:t>
      </w:r>
    </w:p>
    <w:p w14:paraId="6E9A61C2" w14:textId="5C0C6BDF" w:rsidR="00BF5FE2" w:rsidRDefault="00E0728B" w:rsidP="00754F3C">
      <w:pPr>
        <w:spacing w:after="0" w:line="480" w:lineRule="auto"/>
        <w:rPr>
          <w:rFonts w:cstheme="minorHAnsi"/>
          <w:sz w:val="24"/>
          <w:szCs w:val="24"/>
          <w:lang w:val="en-GB"/>
        </w:rPr>
      </w:pPr>
      <w:r w:rsidRPr="00CE66BE">
        <w:rPr>
          <w:rFonts w:cstheme="minorHAnsi"/>
          <w:sz w:val="24"/>
          <w:szCs w:val="24"/>
          <w:lang w:val="en-GB"/>
        </w:rPr>
        <w:t xml:space="preserve">This study was a </w:t>
      </w:r>
      <w:r w:rsidR="00E83051" w:rsidRPr="00CE66BE">
        <w:rPr>
          <w:rFonts w:cstheme="minorHAnsi"/>
          <w:sz w:val="24"/>
          <w:szCs w:val="24"/>
          <w:lang w:val="en-GB"/>
        </w:rPr>
        <w:t>European</w:t>
      </w:r>
      <w:r w:rsidRPr="00CE66BE">
        <w:rPr>
          <w:rFonts w:cstheme="minorHAnsi"/>
          <w:sz w:val="24"/>
          <w:szCs w:val="24"/>
          <w:lang w:val="en-GB"/>
        </w:rPr>
        <w:t xml:space="preserve">, population-based </w:t>
      </w:r>
      <w:r w:rsidR="004622FC" w:rsidRPr="00CE66BE">
        <w:rPr>
          <w:rFonts w:cstheme="minorHAnsi"/>
          <w:sz w:val="24"/>
          <w:szCs w:val="24"/>
          <w:lang w:val="en-GB"/>
        </w:rPr>
        <w:t>retrospective linkage cohort study</w:t>
      </w:r>
      <w:r w:rsidRPr="00CE66BE">
        <w:rPr>
          <w:rFonts w:cstheme="minorHAnsi"/>
          <w:sz w:val="24"/>
          <w:szCs w:val="24"/>
          <w:lang w:val="en-GB"/>
        </w:rPr>
        <w:t xml:space="preserve">. The cohort </w:t>
      </w:r>
      <w:r w:rsidR="007F543B" w:rsidRPr="00CE66BE">
        <w:rPr>
          <w:rFonts w:cstheme="minorHAnsi"/>
          <w:sz w:val="24"/>
          <w:szCs w:val="24"/>
          <w:lang w:val="en-GB"/>
        </w:rPr>
        <w:t xml:space="preserve">included </w:t>
      </w:r>
      <w:r w:rsidR="00A747D0" w:rsidRPr="00CE66BE">
        <w:rPr>
          <w:rFonts w:cstheme="minorHAnsi"/>
          <w:sz w:val="24"/>
          <w:szCs w:val="24"/>
          <w:lang w:val="en-GB"/>
        </w:rPr>
        <w:t xml:space="preserve">all live births </w:t>
      </w:r>
      <w:r w:rsidR="00367D19" w:rsidRPr="00CE66BE">
        <w:rPr>
          <w:rFonts w:cstheme="minorHAnsi"/>
          <w:sz w:val="24"/>
          <w:szCs w:val="24"/>
          <w:lang w:val="en-GB"/>
        </w:rPr>
        <w:t>with major</w:t>
      </w:r>
      <w:r w:rsidRPr="00CE66BE">
        <w:rPr>
          <w:rFonts w:cstheme="minorHAnsi"/>
          <w:sz w:val="24"/>
          <w:szCs w:val="24"/>
          <w:lang w:val="en-GB"/>
        </w:rPr>
        <w:t xml:space="preserve"> CAs collected and validated by population-based registries </w:t>
      </w:r>
      <w:r w:rsidR="004622FC" w:rsidRPr="00CE66BE">
        <w:rPr>
          <w:rFonts w:cstheme="minorHAnsi"/>
          <w:sz w:val="24"/>
          <w:szCs w:val="24"/>
          <w:lang w:val="en-GB"/>
        </w:rPr>
        <w:t xml:space="preserve">which are members of </w:t>
      </w:r>
      <w:r w:rsidR="00D42281" w:rsidRPr="00CE66BE">
        <w:rPr>
          <w:rFonts w:cstheme="minorHAnsi"/>
          <w:sz w:val="24"/>
          <w:szCs w:val="24"/>
          <w:lang w:val="en-GB"/>
        </w:rPr>
        <w:t xml:space="preserve">EUROCAT, </w:t>
      </w:r>
      <w:r w:rsidR="00E83051" w:rsidRPr="00CE66BE">
        <w:rPr>
          <w:rFonts w:cstheme="minorHAnsi"/>
          <w:sz w:val="24"/>
          <w:szCs w:val="24"/>
          <w:lang w:val="en-GB"/>
        </w:rPr>
        <w:t xml:space="preserve">the European network for the </w:t>
      </w:r>
      <w:r w:rsidR="003B322A" w:rsidRPr="00CE66BE">
        <w:rPr>
          <w:rFonts w:cstheme="minorHAnsi"/>
          <w:sz w:val="24"/>
          <w:szCs w:val="24"/>
          <w:lang w:val="en-GB"/>
        </w:rPr>
        <w:t>s</w:t>
      </w:r>
      <w:r w:rsidR="00935EBB">
        <w:rPr>
          <w:rFonts w:cstheme="minorHAnsi"/>
          <w:sz w:val="24"/>
          <w:szCs w:val="24"/>
          <w:lang w:val="en-GB"/>
        </w:rPr>
        <w:t>urveillance of CAs</w:t>
      </w:r>
      <w:r w:rsidRPr="00CE66BE">
        <w:rPr>
          <w:rFonts w:cstheme="minorHAnsi"/>
          <w:sz w:val="24"/>
          <w:szCs w:val="24"/>
          <w:lang w:val="en-GB"/>
        </w:rPr>
        <w:t>.</w:t>
      </w:r>
      <w:r w:rsidR="001338C6">
        <w:rPr>
          <w:rFonts w:cstheme="minorHAnsi"/>
          <w:sz w:val="24"/>
          <w:szCs w:val="24"/>
          <w:vertAlign w:val="superscript"/>
          <w:lang w:val="en-GB"/>
        </w:rPr>
        <w:t>21-23</w:t>
      </w:r>
      <w:r w:rsidR="00472005" w:rsidRPr="00CE66BE">
        <w:rPr>
          <w:rFonts w:cstheme="minorHAnsi"/>
          <w:sz w:val="24"/>
          <w:szCs w:val="24"/>
          <w:lang w:val="en-GB"/>
        </w:rPr>
        <w:t xml:space="preserve"> </w:t>
      </w:r>
      <w:r w:rsidR="00367D19" w:rsidRPr="00CE66BE">
        <w:rPr>
          <w:rFonts w:cstheme="minorHAnsi"/>
          <w:sz w:val="24"/>
          <w:szCs w:val="24"/>
          <w:lang w:val="en-GB"/>
        </w:rPr>
        <w:t>Children with o</w:t>
      </w:r>
      <w:r w:rsidR="00D54340" w:rsidRPr="00CE66BE">
        <w:rPr>
          <w:rFonts w:cstheme="minorHAnsi"/>
          <w:sz w:val="24"/>
          <w:szCs w:val="24"/>
          <w:lang w:val="en-GB"/>
        </w:rPr>
        <w:t xml:space="preserve">nly minor anomalies according to </w:t>
      </w:r>
      <w:r w:rsidR="00BF5FE2" w:rsidRPr="00CE66BE">
        <w:rPr>
          <w:rFonts w:cstheme="minorHAnsi"/>
          <w:sz w:val="24"/>
          <w:szCs w:val="24"/>
          <w:lang w:val="en-GB"/>
        </w:rPr>
        <w:t xml:space="preserve">the </w:t>
      </w:r>
      <w:r w:rsidR="00D54340" w:rsidRPr="00CE66BE">
        <w:rPr>
          <w:rFonts w:cstheme="minorHAnsi"/>
          <w:sz w:val="24"/>
          <w:szCs w:val="24"/>
          <w:lang w:val="en-GB"/>
        </w:rPr>
        <w:t xml:space="preserve">EUROCAT </w:t>
      </w:r>
      <w:r w:rsidR="00367D19" w:rsidRPr="00CE66BE">
        <w:rPr>
          <w:rFonts w:cstheme="minorHAnsi"/>
          <w:sz w:val="24"/>
          <w:szCs w:val="24"/>
          <w:lang w:val="en-GB"/>
        </w:rPr>
        <w:t>definitions were excluded</w:t>
      </w:r>
      <w:r w:rsidR="00472005" w:rsidRPr="00CE66BE">
        <w:rPr>
          <w:rFonts w:cstheme="minorHAnsi"/>
          <w:sz w:val="24"/>
          <w:szCs w:val="24"/>
          <w:lang w:val="en-GB"/>
        </w:rPr>
        <w:t>.</w:t>
      </w:r>
      <w:r w:rsidR="001338C6">
        <w:rPr>
          <w:rFonts w:cstheme="minorHAnsi"/>
          <w:sz w:val="24"/>
          <w:szCs w:val="24"/>
          <w:vertAlign w:val="superscript"/>
          <w:lang w:val="en-GB"/>
        </w:rPr>
        <w:t>24</w:t>
      </w:r>
    </w:p>
    <w:p w14:paraId="26B6A95E" w14:textId="66DE61BC" w:rsidR="00A65E1A" w:rsidRDefault="00A65E1A" w:rsidP="00754F3C">
      <w:pPr>
        <w:spacing w:after="0" w:line="480" w:lineRule="auto"/>
        <w:rPr>
          <w:rFonts w:cstheme="minorHAnsi"/>
          <w:sz w:val="24"/>
          <w:szCs w:val="24"/>
          <w:lang w:val="en-GB"/>
        </w:rPr>
      </w:pPr>
    </w:p>
    <w:p w14:paraId="7C584442" w14:textId="504EC06E" w:rsidR="00A65E1A" w:rsidRPr="001925A3" w:rsidRDefault="00A65E1A" w:rsidP="00754F3C">
      <w:pPr>
        <w:spacing w:after="0" w:line="480" w:lineRule="auto"/>
        <w:rPr>
          <w:rFonts w:cstheme="minorHAnsi"/>
          <w:sz w:val="24"/>
          <w:szCs w:val="24"/>
          <w:lang w:val="en-GB"/>
        </w:rPr>
      </w:pPr>
      <w:r w:rsidRPr="001925A3">
        <w:rPr>
          <w:rFonts w:cstheme="minorHAnsi"/>
          <w:b/>
          <w:sz w:val="24"/>
          <w:szCs w:val="24"/>
          <w:lang w:val="en-GB"/>
        </w:rPr>
        <w:t>Study design and setting</w:t>
      </w:r>
    </w:p>
    <w:p w14:paraId="6FFFD386" w14:textId="2CA0D56C" w:rsidR="00E551E2" w:rsidRPr="00CE66BE" w:rsidRDefault="00E0728B" w:rsidP="00754F3C">
      <w:pPr>
        <w:spacing w:after="0" w:line="480" w:lineRule="auto"/>
        <w:rPr>
          <w:rFonts w:cstheme="minorHAnsi"/>
          <w:sz w:val="24"/>
          <w:szCs w:val="24"/>
          <w:lang w:val="en-GB"/>
        </w:rPr>
      </w:pPr>
      <w:r w:rsidRPr="00CE66BE">
        <w:rPr>
          <w:rFonts w:cstheme="minorHAnsi"/>
          <w:sz w:val="24"/>
          <w:szCs w:val="24"/>
          <w:lang w:val="en-GB"/>
        </w:rPr>
        <w:t>Participating registries linked the</w:t>
      </w:r>
      <w:r w:rsidR="00CA4B03" w:rsidRPr="00CE66BE">
        <w:rPr>
          <w:rFonts w:cstheme="minorHAnsi"/>
          <w:sz w:val="24"/>
          <w:szCs w:val="24"/>
          <w:lang w:val="en-GB"/>
        </w:rPr>
        <w:t>ir</w:t>
      </w:r>
      <w:r w:rsidRPr="00CE66BE">
        <w:rPr>
          <w:rFonts w:cstheme="minorHAnsi"/>
          <w:sz w:val="24"/>
          <w:szCs w:val="24"/>
          <w:lang w:val="en-GB"/>
        </w:rPr>
        <w:t xml:space="preserve"> live</w:t>
      </w:r>
      <w:r w:rsidR="000464BD" w:rsidRPr="00CE66BE">
        <w:rPr>
          <w:rFonts w:cstheme="minorHAnsi"/>
          <w:sz w:val="24"/>
          <w:szCs w:val="24"/>
          <w:lang w:val="en-GB"/>
        </w:rPr>
        <w:t xml:space="preserve"> </w:t>
      </w:r>
      <w:r w:rsidR="00CA4B03" w:rsidRPr="00CE66BE">
        <w:rPr>
          <w:rFonts w:cstheme="minorHAnsi"/>
          <w:sz w:val="24"/>
          <w:szCs w:val="24"/>
          <w:lang w:val="en-GB"/>
        </w:rPr>
        <w:t xml:space="preserve">born cases </w:t>
      </w:r>
      <w:r w:rsidR="00FE521F" w:rsidRPr="00CE66BE">
        <w:rPr>
          <w:rFonts w:cstheme="minorHAnsi"/>
          <w:sz w:val="24"/>
          <w:szCs w:val="24"/>
          <w:lang w:val="en-GB"/>
        </w:rPr>
        <w:t xml:space="preserve">to </w:t>
      </w:r>
      <w:r w:rsidRPr="00CE66BE">
        <w:rPr>
          <w:rFonts w:cstheme="minorHAnsi"/>
          <w:sz w:val="24"/>
          <w:szCs w:val="24"/>
          <w:lang w:val="en-GB"/>
        </w:rPr>
        <w:t xml:space="preserve">mortality records. </w:t>
      </w:r>
      <w:r w:rsidR="00700738" w:rsidRPr="00CE66BE">
        <w:rPr>
          <w:rFonts w:cstheme="minorHAnsi"/>
          <w:sz w:val="24"/>
          <w:szCs w:val="24"/>
          <w:lang w:val="en-GB"/>
        </w:rPr>
        <w:t>Eleven registries linked their data to vital statistics database</w:t>
      </w:r>
      <w:r w:rsidR="00D55C03" w:rsidRPr="00CE66BE">
        <w:rPr>
          <w:rFonts w:cstheme="minorHAnsi"/>
          <w:sz w:val="24"/>
          <w:szCs w:val="24"/>
          <w:lang w:val="en-GB"/>
        </w:rPr>
        <w:t>s</w:t>
      </w:r>
      <w:r w:rsidR="00700738" w:rsidRPr="00CE66BE">
        <w:rPr>
          <w:rFonts w:cstheme="minorHAnsi"/>
          <w:sz w:val="24"/>
          <w:szCs w:val="24"/>
          <w:lang w:val="en-GB"/>
        </w:rPr>
        <w:t xml:space="preserve"> which contain data on </w:t>
      </w:r>
      <w:r w:rsidR="009351F1" w:rsidRPr="00CE66BE">
        <w:rPr>
          <w:rFonts w:cstheme="minorHAnsi"/>
          <w:sz w:val="24"/>
          <w:szCs w:val="24"/>
          <w:lang w:val="en-GB"/>
        </w:rPr>
        <w:t>birth and death registrations. Six registries linked their data only to mortality database</w:t>
      </w:r>
      <w:r w:rsidR="00A747D0" w:rsidRPr="00CE66BE">
        <w:rPr>
          <w:rFonts w:cstheme="minorHAnsi"/>
          <w:sz w:val="24"/>
          <w:szCs w:val="24"/>
          <w:lang w:val="en-GB"/>
        </w:rPr>
        <w:t>s</w:t>
      </w:r>
      <w:r w:rsidR="009351F1" w:rsidRPr="00CE66BE">
        <w:rPr>
          <w:rFonts w:cstheme="minorHAnsi"/>
          <w:sz w:val="24"/>
          <w:szCs w:val="24"/>
          <w:lang w:val="en-GB"/>
        </w:rPr>
        <w:t xml:space="preserve">. </w:t>
      </w:r>
      <w:r w:rsidR="00936F10" w:rsidRPr="00CE66BE">
        <w:rPr>
          <w:rFonts w:cstheme="minorHAnsi"/>
          <w:sz w:val="24"/>
          <w:szCs w:val="24"/>
          <w:lang w:val="en-GB"/>
        </w:rPr>
        <w:t>F</w:t>
      </w:r>
      <w:r w:rsidR="009351F1" w:rsidRPr="00CE66BE">
        <w:rPr>
          <w:rFonts w:cstheme="minorHAnsi"/>
          <w:sz w:val="24"/>
          <w:szCs w:val="24"/>
          <w:lang w:val="en-GB"/>
        </w:rPr>
        <w:t xml:space="preserve">or registries </w:t>
      </w:r>
      <w:r w:rsidR="00700738" w:rsidRPr="00CE66BE">
        <w:rPr>
          <w:rFonts w:cstheme="minorHAnsi"/>
          <w:sz w:val="24"/>
          <w:szCs w:val="24"/>
          <w:lang w:val="en-GB"/>
        </w:rPr>
        <w:t>linking to vital statistics databases</w:t>
      </w:r>
      <w:r w:rsidR="00CA766A" w:rsidRPr="00CE66BE">
        <w:rPr>
          <w:rFonts w:cstheme="minorHAnsi"/>
          <w:sz w:val="24"/>
          <w:szCs w:val="24"/>
          <w:lang w:val="en-GB"/>
        </w:rPr>
        <w:t>,</w:t>
      </w:r>
      <w:r w:rsidR="00700738" w:rsidRPr="00CE66BE">
        <w:rPr>
          <w:rFonts w:cstheme="minorHAnsi"/>
          <w:sz w:val="24"/>
          <w:szCs w:val="24"/>
          <w:lang w:val="en-GB"/>
        </w:rPr>
        <w:t xml:space="preserve"> </w:t>
      </w:r>
      <w:r w:rsidR="003450CC" w:rsidRPr="00CE66BE">
        <w:rPr>
          <w:rFonts w:cstheme="minorHAnsi"/>
          <w:sz w:val="24"/>
          <w:szCs w:val="24"/>
          <w:lang w:val="en-GB"/>
        </w:rPr>
        <w:t xml:space="preserve">it </w:t>
      </w:r>
      <w:r w:rsidR="001763B2" w:rsidRPr="00CE66BE">
        <w:rPr>
          <w:rFonts w:cstheme="minorHAnsi"/>
          <w:sz w:val="24"/>
          <w:szCs w:val="24"/>
          <w:lang w:val="en-GB"/>
        </w:rPr>
        <w:t>was</w:t>
      </w:r>
      <w:r w:rsidR="009351F1" w:rsidRPr="00CE66BE">
        <w:rPr>
          <w:rFonts w:cstheme="minorHAnsi"/>
          <w:sz w:val="24"/>
          <w:szCs w:val="24"/>
          <w:lang w:val="en-GB"/>
        </w:rPr>
        <w:t xml:space="preserve"> possible </w:t>
      </w:r>
      <w:r w:rsidR="00700738" w:rsidRPr="00CE66BE">
        <w:rPr>
          <w:rFonts w:cstheme="minorHAnsi"/>
          <w:sz w:val="24"/>
          <w:szCs w:val="24"/>
          <w:lang w:val="en-GB"/>
        </w:rPr>
        <w:t xml:space="preserve">to determine the proportion of successful </w:t>
      </w:r>
      <w:r w:rsidR="009351F1" w:rsidRPr="00CE66BE">
        <w:rPr>
          <w:rFonts w:cstheme="minorHAnsi"/>
          <w:sz w:val="24"/>
          <w:szCs w:val="24"/>
          <w:lang w:val="en-GB"/>
        </w:rPr>
        <w:t>linkage</w:t>
      </w:r>
      <w:r w:rsidR="00936F10" w:rsidRPr="00CE66BE">
        <w:rPr>
          <w:rFonts w:cstheme="minorHAnsi"/>
          <w:sz w:val="24"/>
          <w:szCs w:val="24"/>
          <w:lang w:val="en-GB"/>
        </w:rPr>
        <w:t>s</w:t>
      </w:r>
      <w:r w:rsidR="00292DEC" w:rsidRPr="00CE66BE">
        <w:rPr>
          <w:rFonts w:cstheme="minorHAnsi"/>
          <w:sz w:val="24"/>
          <w:szCs w:val="24"/>
          <w:lang w:val="en-GB"/>
        </w:rPr>
        <w:t>,</w:t>
      </w:r>
      <w:r w:rsidR="00936F10" w:rsidRPr="00CE66BE">
        <w:rPr>
          <w:rFonts w:cstheme="minorHAnsi"/>
          <w:sz w:val="24"/>
          <w:szCs w:val="24"/>
          <w:lang w:val="en-GB"/>
        </w:rPr>
        <w:t xml:space="preserve"> as any live births not </w:t>
      </w:r>
      <w:r w:rsidR="00C156C9" w:rsidRPr="00CE66BE">
        <w:rPr>
          <w:rFonts w:cstheme="minorHAnsi"/>
          <w:sz w:val="24"/>
          <w:szCs w:val="24"/>
          <w:lang w:val="en-GB"/>
        </w:rPr>
        <w:t>identified</w:t>
      </w:r>
      <w:r w:rsidR="00936F10" w:rsidRPr="00CE66BE">
        <w:rPr>
          <w:rFonts w:cstheme="minorHAnsi"/>
          <w:sz w:val="24"/>
          <w:szCs w:val="24"/>
          <w:lang w:val="en-GB"/>
        </w:rPr>
        <w:t xml:space="preserve"> in the database </w:t>
      </w:r>
      <w:r w:rsidR="001763B2" w:rsidRPr="00CE66BE">
        <w:rPr>
          <w:rFonts w:cstheme="minorHAnsi"/>
          <w:sz w:val="24"/>
          <w:szCs w:val="24"/>
          <w:lang w:val="en-GB"/>
        </w:rPr>
        <w:t>we</w:t>
      </w:r>
      <w:r w:rsidR="00936F10" w:rsidRPr="00CE66BE">
        <w:rPr>
          <w:rFonts w:cstheme="minorHAnsi"/>
          <w:sz w:val="24"/>
          <w:szCs w:val="24"/>
          <w:lang w:val="en-GB"/>
        </w:rPr>
        <w:t xml:space="preserve">re linkage failures. However, </w:t>
      </w:r>
      <w:r w:rsidR="009351F1" w:rsidRPr="00CE66BE">
        <w:rPr>
          <w:rFonts w:cstheme="minorHAnsi"/>
          <w:sz w:val="24"/>
          <w:szCs w:val="24"/>
          <w:lang w:val="en-GB"/>
        </w:rPr>
        <w:t xml:space="preserve">when only </w:t>
      </w:r>
      <w:r w:rsidR="00A747D0" w:rsidRPr="00CE66BE">
        <w:rPr>
          <w:rFonts w:cstheme="minorHAnsi"/>
          <w:sz w:val="24"/>
          <w:szCs w:val="24"/>
          <w:lang w:val="en-GB"/>
        </w:rPr>
        <w:t xml:space="preserve">a </w:t>
      </w:r>
      <w:r w:rsidR="009351F1" w:rsidRPr="00CE66BE">
        <w:rPr>
          <w:rFonts w:cstheme="minorHAnsi"/>
          <w:sz w:val="24"/>
          <w:szCs w:val="24"/>
          <w:lang w:val="en-GB"/>
        </w:rPr>
        <w:t xml:space="preserve">mortality database was used, </w:t>
      </w:r>
      <w:r w:rsidR="00292DEC" w:rsidRPr="00CE66BE">
        <w:rPr>
          <w:rFonts w:cstheme="minorHAnsi"/>
          <w:sz w:val="24"/>
          <w:szCs w:val="24"/>
          <w:lang w:val="en-GB"/>
        </w:rPr>
        <w:t xml:space="preserve">a case without a death certificate </w:t>
      </w:r>
      <w:r w:rsidR="001763B2" w:rsidRPr="00CE66BE">
        <w:rPr>
          <w:rFonts w:cstheme="minorHAnsi"/>
          <w:sz w:val="24"/>
          <w:szCs w:val="24"/>
          <w:lang w:val="en-GB"/>
        </w:rPr>
        <w:t>could have been</w:t>
      </w:r>
      <w:r w:rsidR="00936F10" w:rsidRPr="00CE66BE">
        <w:rPr>
          <w:rFonts w:cstheme="minorHAnsi"/>
          <w:sz w:val="24"/>
          <w:szCs w:val="24"/>
          <w:lang w:val="en-GB"/>
        </w:rPr>
        <w:t xml:space="preserve"> alive or </w:t>
      </w:r>
      <w:r w:rsidR="001763B2" w:rsidRPr="00CE66BE">
        <w:rPr>
          <w:rFonts w:cstheme="minorHAnsi"/>
          <w:sz w:val="24"/>
          <w:szCs w:val="24"/>
          <w:lang w:val="en-GB"/>
        </w:rPr>
        <w:t xml:space="preserve">could have been </w:t>
      </w:r>
      <w:r w:rsidR="00292DEC" w:rsidRPr="00CE66BE">
        <w:rPr>
          <w:rFonts w:cstheme="minorHAnsi"/>
          <w:sz w:val="24"/>
          <w:szCs w:val="24"/>
          <w:lang w:val="en-GB"/>
        </w:rPr>
        <w:t>a linkage fail</w:t>
      </w:r>
      <w:r w:rsidR="00F606EE" w:rsidRPr="00CE66BE">
        <w:rPr>
          <w:rFonts w:cstheme="minorHAnsi"/>
          <w:sz w:val="24"/>
          <w:szCs w:val="24"/>
          <w:lang w:val="en-GB"/>
        </w:rPr>
        <w:t>ure</w:t>
      </w:r>
      <w:r w:rsidR="00A87D3C" w:rsidRPr="00CE66BE">
        <w:rPr>
          <w:rFonts w:cstheme="minorHAnsi"/>
          <w:sz w:val="24"/>
          <w:szCs w:val="24"/>
          <w:lang w:val="en-GB"/>
        </w:rPr>
        <w:t>.</w:t>
      </w:r>
      <w:r w:rsidR="009D47F3" w:rsidRPr="00CE66BE">
        <w:rPr>
          <w:rFonts w:cstheme="minorHAnsi"/>
          <w:sz w:val="24"/>
          <w:szCs w:val="24"/>
          <w:lang w:val="en-GB"/>
        </w:rPr>
        <w:t xml:space="preserve"> </w:t>
      </w:r>
      <w:r w:rsidRPr="00CE66BE">
        <w:rPr>
          <w:rFonts w:cstheme="minorHAnsi"/>
          <w:sz w:val="24"/>
          <w:szCs w:val="24"/>
          <w:lang w:val="en-GB"/>
        </w:rPr>
        <w:t xml:space="preserve">A detailed description </w:t>
      </w:r>
      <w:r w:rsidR="00E551E2" w:rsidRPr="00CE66BE">
        <w:rPr>
          <w:rFonts w:cstheme="minorHAnsi"/>
          <w:sz w:val="24"/>
          <w:szCs w:val="24"/>
          <w:lang w:val="en-GB"/>
        </w:rPr>
        <w:t>and results</w:t>
      </w:r>
      <w:r w:rsidRPr="00CE66BE">
        <w:rPr>
          <w:rFonts w:cstheme="minorHAnsi"/>
          <w:sz w:val="24"/>
          <w:szCs w:val="24"/>
          <w:lang w:val="en-GB"/>
        </w:rPr>
        <w:t xml:space="preserve"> of the linkage process</w:t>
      </w:r>
      <w:r w:rsidR="00E83051" w:rsidRPr="00CE66BE">
        <w:rPr>
          <w:rFonts w:cstheme="minorHAnsi"/>
          <w:sz w:val="24"/>
          <w:szCs w:val="24"/>
          <w:lang w:val="en-GB"/>
        </w:rPr>
        <w:t xml:space="preserve"> </w:t>
      </w:r>
      <w:r w:rsidR="002F1AC1" w:rsidRPr="00CE66BE">
        <w:rPr>
          <w:rFonts w:cstheme="minorHAnsi"/>
          <w:sz w:val="24"/>
          <w:szCs w:val="24"/>
          <w:lang w:val="en-GB"/>
        </w:rPr>
        <w:t>have</w:t>
      </w:r>
      <w:r w:rsidRPr="00CE66BE">
        <w:rPr>
          <w:rFonts w:cstheme="minorHAnsi"/>
          <w:sz w:val="24"/>
          <w:szCs w:val="24"/>
          <w:lang w:val="en-GB"/>
        </w:rPr>
        <w:t xml:space="preserve"> </w:t>
      </w:r>
      <w:r w:rsidR="00BF5FE2" w:rsidRPr="00CE66BE">
        <w:rPr>
          <w:rFonts w:cstheme="minorHAnsi"/>
          <w:sz w:val="24"/>
          <w:szCs w:val="24"/>
          <w:lang w:val="en-GB"/>
        </w:rPr>
        <w:t xml:space="preserve">been </w:t>
      </w:r>
      <w:r w:rsidR="00472005" w:rsidRPr="00CE66BE">
        <w:rPr>
          <w:rFonts w:cstheme="minorHAnsi"/>
          <w:sz w:val="24"/>
          <w:szCs w:val="24"/>
          <w:lang w:val="en-GB"/>
        </w:rPr>
        <w:t>reported</w:t>
      </w:r>
      <w:r w:rsidR="00B06218" w:rsidRPr="00CE66BE">
        <w:rPr>
          <w:rFonts w:cstheme="minorHAnsi"/>
          <w:sz w:val="24"/>
          <w:szCs w:val="24"/>
          <w:lang w:val="en-GB"/>
        </w:rPr>
        <w:t xml:space="preserve"> </w:t>
      </w:r>
      <w:r w:rsidR="009D199F" w:rsidRPr="00CE66BE">
        <w:rPr>
          <w:rFonts w:cstheme="minorHAnsi"/>
          <w:sz w:val="24"/>
          <w:szCs w:val="24"/>
          <w:lang w:val="en-GB"/>
        </w:rPr>
        <w:t>elsewhere</w:t>
      </w:r>
      <w:r w:rsidR="006241A7" w:rsidRPr="00CE66BE">
        <w:rPr>
          <w:rFonts w:cstheme="minorHAnsi"/>
          <w:sz w:val="24"/>
          <w:szCs w:val="24"/>
          <w:lang w:val="en-GB"/>
        </w:rPr>
        <w:t>.</w:t>
      </w:r>
      <w:r w:rsidR="001338C6">
        <w:rPr>
          <w:rFonts w:cstheme="minorHAnsi"/>
          <w:sz w:val="24"/>
          <w:szCs w:val="24"/>
          <w:vertAlign w:val="superscript"/>
          <w:lang w:val="en-GB"/>
        </w:rPr>
        <w:t>25</w:t>
      </w:r>
      <w:r w:rsidR="001338C6" w:rsidRPr="00CE66BE">
        <w:rPr>
          <w:rFonts w:cstheme="minorHAnsi"/>
          <w:sz w:val="24"/>
          <w:szCs w:val="24"/>
          <w:lang w:val="en-GB"/>
        </w:rPr>
        <w:t xml:space="preserve"> </w:t>
      </w:r>
      <w:proofErr w:type="gramStart"/>
      <w:r w:rsidR="006241A7" w:rsidRPr="00CE66BE">
        <w:rPr>
          <w:rFonts w:cstheme="minorHAnsi"/>
          <w:sz w:val="24"/>
          <w:szCs w:val="24"/>
          <w:lang w:val="en-GB"/>
        </w:rPr>
        <w:t>A</w:t>
      </w:r>
      <w:proofErr w:type="gramEnd"/>
      <w:r w:rsidR="006241A7" w:rsidRPr="00CE66BE">
        <w:rPr>
          <w:rFonts w:cstheme="minorHAnsi"/>
          <w:sz w:val="24"/>
          <w:szCs w:val="24"/>
          <w:lang w:val="en-GB"/>
        </w:rPr>
        <w:t xml:space="preserve"> total of 17 registries </w:t>
      </w:r>
      <w:r w:rsidR="00D42281" w:rsidRPr="00CE66BE">
        <w:rPr>
          <w:rFonts w:cstheme="minorHAnsi"/>
          <w:sz w:val="24"/>
          <w:szCs w:val="24"/>
          <w:lang w:val="en-GB"/>
        </w:rPr>
        <w:t>in</w:t>
      </w:r>
      <w:r w:rsidR="006241A7" w:rsidRPr="00CE66BE">
        <w:rPr>
          <w:rFonts w:cstheme="minorHAnsi"/>
          <w:sz w:val="24"/>
          <w:szCs w:val="24"/>
          <w:lang w:val="en-GB"/>
        </w:rPr>
        <w:t xml:space="preserve"> 12 different European </w:t>
      </w:r>
      <w:r w:rsidR="00D42281" w:rsidRPr="00CE66BE">
        <w:rPr>
          <w:rFonts w:cstheme="minorHAnsi"/>
          <w:sz w:val="24"/>
          <w:szCs w:val="24"/>
          <w:lang w:val="en-GB"/>
        </w:rPr>
        <w:lastRenderedPageBreak/>
        <w:t xml:space="preserve">countries </w:t>
      </w:r>
      <w:r w:rsidR="006241A7" w:rsidRPr="00CE66BE">
        <w:rPr>
          <w:rFonts w:cstheme="minorHAnsi"/>
          <w:sz w:val="24"/>
          <w:szCs w:val="24"/>
          <w:lang w:val="en-GB"/>
        </w:rPr>
        <w:t xml:space="preserve">successfully </w:t>
      </w:r>
      <w:r w:rsidR="00BF5FE2" w:rsidRPr="00CE66BE">
        <w:rPr>
          <w:rFonts w:cstheme="minorHAnsi"/>
          <w:sz w:val="24"/>
          <w:szCs w:val="24"/>
          <w:lang w:val="en-GB"/>
        </w:rPr>
        <w:t xml:space="preserve">linked </w:t>
      </w:r>
      <w:r w:rsidR="006241A7" w:rsidRPr="00CE66BE">
        <w:rPr>
          <w:rFonts w:cstheme="minorHAnsi"/>
          <w:sz w:val="24"/>
          <w:szCs w:val="24"/>
          <w:lang w:val="en-GB"/>
        </w:rPr>
        <w:t xml:space="preserve">their </w:t>
      </w:r>
      <w:r w:rsidR="003B322A" w:rsidRPr="00CE66BE">
        <w:rPr>
          <w:rFonts w:cstheme="minorHAnsi"/>
          <w:sz w:val="24"/>
          <w:szCs w:val="24"/>
          <w:lang w:val="en-GB"/>
        </w:rPr>
        <w:t>live birth</w:t>
      </w:r>
      <w:r w:rsidR="00E551E2" w:rsidRPr="00CE66BE">
        <w:rPr>
          <w:rFonts w:cstheme="minorHAnsi"/>
          <w:sz w:val="24"/>
          <w:szCs w:val="24"/>
          <w:lang w:val="en-GB"/>
        </w:rPr>
        <w:t xml:space="preserve">s with CA </w:t>
      </w:r>
      <w:r w:rsidR="006241A7" w:rsidRPr="00CE66BE">
        <w:rPr>
          <w:rFonts w:cstheme="minorHAnsi"/>
          <w:sz w:val="24"/>
          <w:szCs w:val="24"/>
          <w:lang w:val="en-GB"/>
        </w:rPr>
        <w:t>to mortality</w:t>
      </w:r>
      <w:r w:rsidR="00BF5FE2" w:rsidRPr="00CE66BE">
        <w:rPr>
          <w:rFonts w:cstheme="minorHAnsi"/>
          <w:sz w:val="24"/>
          <w:szCs w:val="24"/>
          <w:lang w:val="en-GB"/>
        </w:rPr>
        <w:t xml:space="preserve"> records</w:t>
      </w:r>
      <w:r w:rsidR="005E5A5B" w:rsidRPr="00CE66BE">
        <w:rPr>
          <w:rFonts w:cstheme="minorHAnsi"/>
          <w:sz w:val="24"/>
          <w:szCs w:val="24"/>
          <w:lang w:val="en-GB"/>
        </w:rPr>
        <w:t>. I</w:t>
      </w:r>
      <w:r w:rsidR="004F04FE" w:rsidRPr="00CE66BE">
        <w:rPr>
          <w:rFonts w:cstheme="minorHAnsi"/>
          <w:sz w:val="24"/>
          <w:szCs w:val="24"/>
          <w:lang w:val="en-GB"/>
        </w:rPr>
        <w:t>n only one registry (Malta)</w:t>
      </w:r>
      <w:r w:rsidR="00CA766A" w:rsidRPr="00CE66BE">
        <w:rPr>
          <w:rFonts w:cstheme="minorHAnsi"/>
          <w:sz w:val="24"/>
          <w:szCs w:val="24"/>
          <w:lang w:val="en-GB"/>
        </w:rPr>
        <w:t>,</w:t>
      </w:r>
      <w:r w:rsidR="004F04FE" w:rsidRPr="00CE66BE">
        <w:rPr>
          <w:rFonts w:cstheme="minorHAnsi"/>
          <w:sz w:val="24"/>
          <w:szCs w:val="24"/>
          <w:lang w:val="en-GB"/>
        </w:rPr>
        <w:t xml:space="preserve"> termination of pregnancy is illegal</w:t>
      </w:r>
      <w:r w:rsidR="006241A7" w:rsidRPr="00CE66BE">
        <w:rPr>
          <w:rFonts w:cstheme="minorHAnsi"/>
          <w:sz w:val="24"/>
          <w:szCs w:val="24"/>
          <w:lang w:val="en-GB"/>
        </w:rPr>
        <w:t>.</w:t>
      </w:r>
      <w:r w:rsidR="004F4FFF" w:rsidRPr="00CE66BE">
        <w:rPr>
          <w:rFonts w:cstheme="minorHAnsi"/>
          <w:sz w:val="24"/>
          <w:szCs w:val="24"/>
          <w:lang w:val="en-GB"/>
        </w:rPr>
        <w:t xml:space="preserve"> </w:t>
      </w:r>
      <w:r w:rsidR="006241A7" w:rsidRPr="00CE66BE">
        <w:rPr>
          <w:rFonts w:cstheme="minorHAnsi"/>
          <w:sz w:val="24"/>
          <w:szCs w:val="24"/>
          <w:lang w:val="en-GB"/>
        </w:rPr>
        <w:t xml:space="preserve">All participating registries followed a </w:t>
      </w:r>
      <w:r w:rsidR="002F3440" w:rsidRPr="00CE66BE">
        <w:rPr>
          <w:rFonts w:cstheme="minorHAnsi"/>
          <w:sz w:val="24"/>
          <w:szCs w:val="24"/>
          <w:lang w:val="en-GB"/>
        </w:rPr>
        <w:t xml:space="preserve">common </w:t>
      </w:r>
      <w:r w:rsidR="006241A7" w:rsidRPr="00CE66BE">
        <w:rPr>
          <w:rFonts w:cstheme="minorHAnsi"/>
          <w:sz w:val="24"/>
          <w:szCs w:val="24"/>
          <w:lang w:val="en-GB"/>
        </w:rPr>
        <w:t xml:space="preserve">procedure of </w:t>
      </w:r>
      <w:r w:rsidR="00D44AE1" w:rsidRPr="00CE66BE">
        <w:rPr>
          <w:rFonts w:cstheme="minorHAnsi"/>
          <w:sz w:val="24"/>
          <w:szCs w:val="24"/>
          <w:lang w:val="en-GB"/>
        </w:rPr>
        <w:t xml:space="preserve">data collection, </w:t>
      </w:r>
      <w:r w:rsidR="002F3440" w:rsidRPr="00CE66BE">
        <w:rPr>
          <w:rFonts w:cstheme="minorHAnsi"/>
          <w:sz w:val="24"/>
          <w:szCs w:val="24"/>
          <w:lang w:val="en-GB"/>
        </w:rPr>
        <w:t>standardi</w:t>
      </w:r>
      <w:r w:rsidR="00BF5FE2" w:rsidRPr="00CE66BE">
        <w:rPr>
          <w:rFonts w:cstheme="minorHAnsi"/>
          <w:sz w:val="24"/>
          <w:szCs w:val="24"/>
          <w:lang w:val="en-GB"/>
        </w:rPr>
        <w:t>s</w:t>
      </w:r>
      <w:r w:rsidR="002F3440" w:rsidRPr="00CE66BE">
        <w:rPr>
          <w:rFonts w:cstheme="minorHAnsi"/>
          <w:sz w:val="24"/>
          <w:szCs w:val="24"/>
          <w:lang w:val="en-GB"/>
        </w:rPr>
        <w:t xml:space="preserve">ation, quality control and statistical analyses, defined in the </w:t>
      </w:r>
      <w:proofErr w:type="spellStart"/>
      <w:r w:rsidR="002F3440" w:rsidRPr="00CE66BE">
        <w:rPr>
          <w:rFonts w:cstheme="minorHAnsi"/>
          <w:sz w:val="24"/>
          <w:szCs w:val="24"/>
          <w:lang w:val="en-GB"/>
        </w:rPr>
        <w:t>EUROlinkCAT</w:t>
      </w:r>
      <w:proofErr w:type="spellEnd"/>
      <w:r w:rsidR="002F3440" w:rsidRPr="00CE66BE">
        <w:rPr>
          <w:rFonts w:cstheme="minorHAnsi"/>
          <w:sz w:val="24"/>
          <w:szCs w:val="24"/>
          <w:lang w:val="en-GB"/>
        </w:rPr>
        <w:t xml:space="preserve"> protocol and reported in detail in</w:t>
      </w:r>
      <w:r w:rsidR="000E7D8C" w:rsidRPr="00CE66BE">
        <w:rPr>
          <w:rFonts w:cstheme="minorHAnsi"/>
          <w:sz w:val="24"/>
          <w:szCs w:val="24"/>
          <w:lang w:val="en-GB"/>
        </w:rPr>
        <w:t xml:space="preserve"> a </w:t>
      </w:r>
      <w:r w:rsidR="00BF5FE2" w:rsidRPr="00CE66BE">
        <w:rPr>
          <w:rFonts w:cstheme="minorHAnsi"/>
          <w:sz w:val="24"/>
          <w:szCs w:val="24"/>
          <w:lang w:val="en-GB"/>
        </w:rPr>
        <w:t xml:space="preserve">recent </w:t>
      </w:r>
      <w:r w:rsidR="006E648F" w:rsidRPr="00CE66BE">
        <w:rPr>
          <w:rFonts w:cstheme="minorHAnsi"/>
          <w:sz w:val="24"/>
          <w:szCs w:val="24"/>
          <w:lang w:val="en-GB"/>
        </w:rPr>
        <w:t>paper</w:t>
      </w:r>
      <w:r w:rsidR="00487298" w:rsidRPr="00CE66BE">
        <w:rPr>
          <w:rFonts w:cstheme="minorHAnsi"/>
          <w:sz w:val="24"/>
          <w:szCs w:val="24"/>
          <w:lang w:val="en-GB"/>
        </w:rPr>
        <w:t>.</w:t>
      </w:r>
      <w:r w:rsidR="001338C6">
        <w:rPr>
          <w:rFonts w:cstheme="minorHAnsi"/>
          <w:sz w:val="24"/>
          <w:szCs w:val="24"/>
          <w:vertAlign w:val="superscript"/>
          <w:lang w:val="en-GB"/>
        </w:rPr>
        <w:t>20</w:t>
      </w:r>
      <w:r w:rsidR="001338C6">
        <w:rPr>
          <w:rFonts w:cstheme="minorHAnsi"/>
          <w:sz w:val="24"/>
          <w:szCs w:val="24"/>
          <w:lang w:val="en-GB"/>
        </w:rPr>
        <w:t xml:space="preserve"> </w:t>
      </w:r>
      <w:r w:rsidR="00852575" w:rsidRPr="00CE66BE">
        <w:rPr>
          <w:rFonts w:cstheme="minorHAnsi"/>
          <w:sz w:val="24"/>
          <w:szCs w:val="24"/>
          <w:lang w:val="en-GB"/>
        </w:rPr>
        <w:t xml:space="preserve">Data from each registry were </w:t>
      </w:r>
      <w:r w:rsidR="00A87D3C" w:rsidRPr="00CE66BE">
        <w:rPr>
          <w:rFonts w:cstheme="minorHAnsi"/>
          <w:sz w:val="24"/>
          <w:szCs w:val="24"/>
          <w:lang w:val="en-GB"/>
        </w:rPr>
        <w:t xml:space="preserve">locally </w:t>
      </w:r>
      <w:r w:rsidR="00852575" w:rsidRPr="00CE66BE">
        <w:rPr>
          <w:rFonts w:cstheme="minorHAnsi"/>
          <w:sz w:val="24"/>
          <w:szCs w:val="24"/>
          <w:lang w:val="en-GB"/>
        </w:rPr>
        <w:t>analysed by the registry using common S</w:t>
      </w:r>
      <w:r w:rsidR="003B322A" w:rsidRPr="00CE66BE">
        <w:rPr>
          <w:rFonts w:cstheme="minorHAnsi"/>
          <w:sz w:val="24"/>
          <w:szCs w:val="24"/>
          <w:lang w:val="en-GB"/>
        </w:rPr>
        <w:t>tata</w:t>
      </w:r>
      <w:r w:rsidR="00F606EE" w:rsidRPr="00CE66BE">
        <w:rPr>
          <w:rFonts w:cstheme="minorHAnsi"/>
          <w:sz w:val="24"/>
          <w:szCs w:val="24"/>
          <w:lang w:val="en-GB"/>
        </w:rPr>
        <w:t xml:space="preserve"> syntax scripts</w:t>
      </w:r>
      <w:r w:rsidR="00CA766A" w:rsidRPr="00CE66BE">
        <w:rPr>
          <w:rFonts w:cstheme="minorHAnsi"/>
          <w:sz w:val="24"/>
          <w:szCs w:val="24"/>
          <w:lang w:val="en-GB"/>
        </w:rPr>
        <w:t>,</w:t>
      </w:r>
      <w:r w:rsidR="00852575" w:rsidRPr="00CE66BE">
        <w:rPr>
          <w:rFonts w:cstheme="minorHAnsi"/>
          <w:sz w:val="24"/>
          <w:szCs w:val="24"/>
          <w:lang w:val="en-GB"/>
        </w:rPr>
        <w:t xml:space="preserve"> aggregate data and analytic results were then provided to a </w:t>
      </w:r>
      <w:r w:rsidR="00CA766A" w:rsidRPr="00CE66BE">
        <w:rPr>
          <w:rFonts w:cstheme="minorHAnsi"/>
          <w:sz w:val="24"/>
          <w:szCs w:val="24"/>
          <w:lang w:val="en-GB"/>
        </w:rPr>
        <w:t>C</w:t>
      </w:r>
      <w:r w:rsidR="00852575" w:rsidRPr="00CE66BE">
        <w:rPr>
          <w:rFonts w:cstheme="minorHAnsi"/>
          <w:sz w:val="24"/>
          <w:szCs w:val="24"/>
          <w:lang w:val="en-GB"/>
        </w:rPr>
        <w:t xml:space="preserve">entral </w:t>
      </w:r>
      <w:r w:rsidR="00CA766A" w:rsidRPr="00CE66BE">
        <w:rPr>
          <w:rFonts w:cstheme="minorHAnsi"/>
          <w:sz w:val="24"/>
          <w:szCs w:val="24"/>
          <w:lang w:val="en-GB"/>
        </w:rPr>
        <w:t>R</w:t>
      </w:r>
      <w:r w:rsidR="00852575" w:rsidRPr="00CE66BE">
        <w:rPr>
          <w:rFonts w:cstheme="minorHAnsi"/>
          <w:sz w:val="24"/>
          <w:szCs w:val="24"/>
          <w:lang w:val="en-GB"/>
        </w:rPr>
        <w:t xml:space="preserve">esults </w:t>
      </w:r>
      <w:r w:rsidR="00CA766A" w:rsidRPr="00CE66BE">
        <w:rPr>
          <w:rFonts w:cstheme="minorHAnsi"/>
          <w:sz w:val="24"/>
          <w:szCs w:val="24"/>
          <w:lang w:val="en-GB"/>
        </w:rPr>
        <w:t>R</w:t>
      </w:r>
      <w:r w:rsidR="00852575" w:rsidRPr="00CE66BE">
        <w:rPr>
          <w:rFonts w:cstheme="minorHAnsi"/>
          <w:sz w:val="24"/>
          <w:szCs w:val="24"/>
          <w:lang w:val="en-GB"/>
        </w:rPr>
        <w:t>e</w:t>
      </w:r>
      <w:r w:rsidR="00F606EE" w:rsidRPr="00CE66BE">
        <w:rPr>
          <w:rFonts w:cstheme="minorHAnsi"/>
          <w:sz w:val="24"/>
          <w:szCs w:val="24"/>
          <w:lang w:val="en-GB"/>
        </w:rPr>
        <w:t xml:space="preserve">pository </w:t>
      </w:r>
      <w:r w:rsidR="00852575" w:rsidRPr="00CE66BE">
        <w:rPr>
          <w:rFonts w:cstheme="minorHAnsi"/>
          <w:sz w:val="24"/>
          <w:szCs w:val="24"/>
          <w:lang w:val="en-GB"/>
        </w:rPr>
        <w:t xml:space="preserve">based </w:t>
      </w:r>
      <w:r w:rsidR="00314DC8" w:rsidRPr="00CE66BE">
        <w:rPr>
          <w:rFonts w:cstheme="minorHAnsi"/>
          <w:sz w:val="24"/>
          <w:szCs w:val="24"/>
          <w:lang w:val="en-GB"/>
        </w:rPr>
        <w:t>at</w:t>
      </w:r>
      <w:r w:rsidR="00852575" w:rsidRPr="00CE66BE">
        <w:rPr>
          <w:rFonts w:cstheme="minorHAnsi"/>
          <w:sz w:val="24"/>
          <w:szCs w:val="24"/>
          <w:lang w:val="en-GB"/>
        </w:rPr>
        <w:t xml:space="preserve"> Ulster University</w:t>
      </w:r>
      <w:r w:rsidR="001B71DA" w:rsidRPr="00CE66BE">
        <w:rPr>
          <w:rFonts w:cstheme="minorHAnsi"/>
          <w:sz w:val="24"/>
          <w:szCs w:val="24"/>
          <w:lang w:val="en-GB"/>
        </w:rPr>
        <w:t>, UK</w:t>
      </w:r>
      <w:r w:rsidR="00852575" w:rsidRPr="00CE66BE">
        <w:rPr>
          <w:rFonts w:cstheme="minorHAnsi"/>
          <w:sz w:val="24"/>
          <w:szCs w:val="24"/>
          <w:lang w:val="en-GB"/>
        </w:rPr>
        <w:t xml:space="preserve">. </w:t>
      </w:r>
    </w:p>
    <w:p w14:paraId="071DC8C2" w14:textId="024F8C17" w:rsidR="0088257F" w:rsidRPr="00CE66BE" w:rsidRDefault="00F850EA" w:rsidP="00754F3C">
      <w:pPr>
        <w:spacing w:after="0" w:line="480" w:lineRule="auto"/>
        <w:rPr>
          <w:rFonts w:cstheme="minorHAnsi"/>
          <w:sz w:val="24"/>
          <w:szCs w:val="24"/>
          <w:lang w:val="en-GB"/>
        </w:rPr>
      </w:pPr>
      <w:r w:rsidRPr="00CE66BE">
        <w:rPr>
          <w:rFonts w:cstheme="minorHAnsi"/>
          <w:sz w:val="24"/>
          <w:szCs w:val="24"/>
          <w:lang w:val="en-GB"/>
        </w:rPr>
        <w:t xml:space="preserve">All </w:t>
      </w:r>
      <w:r w:rsidR="00852575" w:rsidRPr="00CE66BE">
        <w:rPr>
          <w:rFonts w:cstheme="minorHAnsi"/>
          <w:sz w:val="24"/>
          <w:szCs w:val="24"/>
          <w:lang w:val="en-GB"/>
        </w:rPr>
        <w:t xml:space="preserve">live </w:t>
      </w:r>
      <w:r w:rsidRPr="00CE66BE">
        <w:rPr>
          <w:rFonts w:cstheme="minorHAnsi"/>
          <w:sz w:val="24"/>
          <w:szCs w:val="24"/>
          <w:lang w:val="en-GB"/>
        </w:rPr>
        <w:t xml:space="preserve">births </w:t>
      </w:r>
      <w:r w:rsidR="00C462A0" w:rsidRPr="00CE66BE">
        <w:rPr>
          <w:rFonts w:cstheme="minorHAnsi"/>
          <w:sz w:val="24"/>
          <w:szCs w:val="24"/>
          <w:lang w:val="en-GB"/>
        </w:rPr>
        <w:t xml:space="preserve">with CA </w:t>
      </w:r>
      <w:r w:rsidRPr="00CE66BE">
        <w:rPr>
          <w:rFonts w:cstheme="minorHAnsi"/>
          <w:sz w:val="24"/>
          <w:szCs w:val="24"/>
          <w:lang w:val="en-GB"/>
        </w:rPr>
        <w:t>from</w:t>
      </w:r>
      <w:r w:rsidR="00D55CF4" w:rsidRPr="00CE66BE">
        <w:rPr>
          <w:rFonts w:cstheme="minorHAnsi"/>
          <w:sz w:val="24"/>
          <w:szCs w:val="24"/>
          <w:lang w:val="en-GB"/>
        </w:rPr>
        <w:t xml:space="preserve"> 2005-2014 </w:t>
      </w:r>
      <w:r w:rsidRPr="00CE66BE">
        <w:rPr>
          <w:rFonts w:cstheme="minorHAnsi"/>
          <w:sz w:val="24"/>
          <w:szCs w:val="24"/>
          <w:lang w:val="en-GB"/>
        </w:rPr>
        <w:t xml:space="preserve">were included </w:t>
      </w:r>
      <w:r w:rsidR="00D55CF4" w:rsidRPr="00CE66BE">
        <w:rPr>
          <w:rFonts w:cstheme="minorHAnsi"/>
          <w:sz w:val="24"/>
          <w:szCs w:val="24"/>
          <w:lang w:val="en-GB"/>
        </w:rPr>
        <w:t>for all registries except for Emilia Romagna</w:t>
      </w:r>
      <w:r w:rsidR="00826BAF" w:rsidRPr="00CE66BE">
        <w:rPr>
          <w:rFonts w:cstheme="minorHAnsi"/>
          <w:sz w:val="24"/>
          <w:szCs w:val="24"/>
          <w:lang w:val="en-GB"/>
        </w:rPr>
        <w:t xml:space="preserve"> (Italy)</w:t>
      </w:r>
      <w:r w:rsidR="00D55CF4" w:rsidRPr="00CE66BE">
        <w:rPr>
          <w:rFonts w:cstheme="minorHAnsi"/>
          <w:sz w:val="24"/>
          <w:szCs w:val="24"/>
          <w:lang w:val="en-GB"/>
        </w:rPr>
        <w:t>, Valencian Region</w:t>
      </w:r>
      <w:r w:rsidR="00826BAF" w:rsidRPr="00CE66BE">
        <w:rPr>
          <w:rFonts w:cstheme="minorHAnsi"/>
          <w:sz w:val="24"/>
          <w:szCs w:val="24"/>
          <w:lang w:val="en-GB"/>
        </w:rPr>
        <w:t xml:space="preserve"> (Spain)</w:t>
      </w:r>
      <w:r w:rsidR="00D55CF4" w:rsidRPr="00CE66BE">
        <w:rPr>
          <w:rFonts w:cstheme="minorHAnsi"/>
          <w:sz w:val="24"/>
          <w:szCs w:val="24"/>
          <w:lang w:val="en-GB"/>
        </w:rPr>
        <w:t>, Thames Valley</w:t>
      </w:r>
      <w:r w:rsidR="00826BAF" w:rsidRPr="00CE66BE">
        <w:rPr>
          <w:rFonts w:cstheme="minorHAnsi"/>
          <w:sz w:val="24"/>
          <w:szCs w:val="24"/>
          <w:lang w:val="en-GB"/>
        </w:rPr>
        <w:t xml:space="preserve"> (UK)</w:t>
      </w:r>
      <w:r w:rsidR="00D55CF4" w:rsidRPr="00CE66BE">
        <w:rPr>
          <w:rFonts w:cstheme="minorHAnsi"/>
          <w:sz w:val="24"/>
          <w:szCs w:val="24"/>
          <w:lang w:val="en-GB"/>
        </w:rPr>
        <w:t xml:space="preserve">, East Midlands </w:t>
      </w:r>
      <w:r w:rsidR="004D1456" w:rsidRPr="00CE66BE">
        <w:rPr>
          <w:rFonts w:cstheme="minorHAnsi"/>
          <w:sz w:val="24"/>
          <w:szCs w:val="24"/>
          <w:lang w:val="en-GB"/>
        </w:rPr>
        <w:t>and South Yorkshire</w:t>
      </w:r>
      <w:r w:rsidR="00BE4B72" w:rsidRPr="00CE66BE">
        <w:rPr>
          <w:rFonts w:cstheme="minorHAnsi"/>
          <w:sz w:val="24"/>
          <w:szCs w:val="24"/>
          <w:lang w:val="en-GB"/>
        </w:rPr>
        <w:t xml:space="preserve"> (EMSY)</w:t>
      </w:r>
      <w:r w:rsidR="004D1456" w:rsidRPr="00CE66BE">
        <w:rPr>
          <w:rFonts w:cstheme="minorHAnsi"/>
          <w:sz w:val="24"/>
          <w:szCs w:val="24"/>
          <w:lang w:val="en-GB"/>
        </w:rPr>
        <w:t xml:space="preserve"> </w:t>
      </w:r>
      <w:r w:rsidR="00826BAF" w:rsidRPr="00CE66BE">
        <w:rPr>
          <w:rFonts w:cstheme="minorHAnsi"/>
          <w:sz w:val="24"/>
          <w:szCs w:val="24"/>
          <w:lang w:val="en-GB"/>
        </w:rPr>
        <w:t xml:space="preserve">(UK) </w:t>
      </w:r>
      <w:r w:rsidR="00D55CF4" w:rsidRPr="00CE66BE">
        <w:rPr>
          <w:rFonts w:cstheme="minorHAnsi"/>
          <w:sz w:val="24"/>
          <w:szCs w:val="24"/>
          <w:lang w:val="en-GB"/>
        </w:rPr>
        <w:t xml:space="preserve">and </w:t>
      </w:r>
      <w:r w:rsidR="00826BAF" w:rsidRPr="00CE66BE">
        <w:rPr>
          <w:rFonts w:cstheme="minorHAnsi"/>
          <w:sz w:val="24"/>
          <w:szCs w:val="24"/>
          <w:lang w:val="en-GB"/>
        </w:rPr>
        <w:t>OMNI-Net (</w:t>
      </w:r>
      <w:r w:rsidR="00D55CF4" w:rsidRPr="00CE66BE">
        <w:rPr>
          <w:rFonts w:cstheme="minorHAnsi"/>
          <w:sz w:val="24"/>
          <w:szCs w:val="24"/>
          <w:lang w:val="en-GB"/>
        </w:rPr>
        <w:t>Ukraine</w:t>
      </w:r>
      <w:r w:rsidR="00826BAF" w:rsidRPr="00CE66BE">
        <w:rPr>
          <w:rFonts w:cstheme="minorHAnsi"/>
          <w:sz w:val="24"/>
          <w:szCs w:val="24"/>
          <w:lang w:val="en-GB"/>
        </w:rPr>
        <w:t>)</w:t>
      </w:r>
      <w:r w:rsidR="00D55CF4" w:rsidRPr="00CE66BE">
        <w:rPr>
          <w:rFonts w:cstheme="minorHAnsi"/>
          <w:sz w:val="24"/>
          <w:szCs w:val="24"/>
          <w:lang w:val="en-GB"/>
        </w:rPr>
        <w:t xml:space="preserve">, for which </w:t>
      </w:r>
      <w:r w:rsidR="00852575" w:rsidRPr="00CE66BE">
        <w:rPr>
          <w:rFonts w:cstheme="minorHAnsi"/>
          <w:sz w:val="24"/>
          <w:szCs w:val="24"/>
          <w:lang w:val="en-GB"/>
        </w:rPr>
        <w:t xml:space="preserve">data were available for </w:t>
      </w:r>
      <w:r w:rsidR="00D55CF4" w:rsidRPr="00CE66BE">
        <w:rPr>
          <w:rFonts w:cstheme="minorHAnsi"/>
          <w:sz w:val="24"/>
          <w:szCs w:val="24"/>
          <w:lang w:val="en-GB"/>
        </w:rPr>
        <w:t xml:space="preserve">a shorter </w:t>
      </w:r>
      <w:r w:rsidRPr="00CE66BE">
        <w:rPr>
          <w:rFonts w:cstheme="minorHAnsi"/>
          <w:sz w:val="24"/>
          <w:szCs w:val="24"/>
          <w:lang w:val="en-GB"/>
        </w:rPr>
        <w:t xml:space="preserve">birth </w:t>
      </w:r>
      <w:r w:rsidR="00D55CF4" w:rsidRPr="00CE66BE">
        <w:rPr>
          <w:rFonts w:cstheme="minorHAnsi"/>
          <w:sz w:val="24"/>
          <w:szCs w:val="24"/>
          <w:lang w:val="en-GB"/>
        </w:rPr>
        <w:t>period</w:t>
      </w:r>
      <w:r w:rsidR="002824E5" w:rsidRPr="00CE66BE">
        <w:rPr>
          <w:rFonts w:cstheme="minorHAnsi"/>
          <w:sz w:val="24"/>
          <w:szCs w:val="24"/>
          <w:lang w:val="en-GB"/>
        </w:rPr>
        <w:t xml:space="preserve"> (Table 1).</w:t>
      </w:r>
      <w:r w:rsidR="00852575" w:rsidRPr="00CE66BE">
        <w:rPr>
          <w:rFonts w:cstheme="minorHAnsi"/>
          <w:sz w:val="24"/>
          <w:szCs w:val="24"/>
          <w:lang w:val="en-GB"/>
        </w:rPr>
        <w:t xml:space="preserve"> </w:t>
      </w:r>
      <w:r w:rsidR="00936F10" w:rsidRPr="00CE66BE">
        <w:rPr>
          <w:rFonts w:cstheme="minorHAnsi"/>
          <w:sz w:val="24"/>
          <w:szCs w:val="24"/>
          <w:lang w:val="en-GB"/>
        </w:rPr>
        <w:t xml:space="preserve">All </w:t>
      </w:r>
      <w:r w:rsidR="00852575" w:rsidRPr="00CE66BE">
        <w:rPr>
          <w:rFonts w:cstheme="minorHAnsi"/>
          <w:sz w:val="24"/>
          <w:szCs w:val="24"/>
          <w:lang w:val="en-GB"/>
        </w:rPr>
        <w:t>live births were linked to mortality records</w:t>
      </w:r>
      <w:r w:rsidR="00936F10" w:rsidRPr="00CE66BE">
        <w:rPr>
          <w:rFonts w:cstheme="minorHAnsi"/>
          <w:sz w:val="24"/>
          <w:szCs w:val="24"/>
          <w:lang w:val="en-GB"/>
        </w:rPr>
        <w:t xml:space="preserve"> up to </w:t>
      </w:r>
      <w:r w:rsidR="00852575" w:rsidRPr="00CE66BE">
        <w:rPr>
          <w:rFonts w:cstheme="minorHAnsi"/>
          <w:sz w:val="24"/>
          <w:szCs w:val="24"/>
          <w:lang w:val="en-GB"/>
        </w:rPr>
        <w:t xml:space="preserve">2015, so that all live </w:t>
      </w:r>
      <w:r w:rsidR="00506AC1" w:rsidRPr="00CE66BE">
        <w:rPr>
          <w:rFonts w:cstheme="minorHAnsi"/>
          <w:sz w:val="24"/>
          <w:szCs w:val="24"/>
          <w:lang w:val="en-GB"/>
        </w:rPr>
        <w:t>births</w:t>
      </w:r>
      <w:r w:rsidR="00852575" w:rsidRPr="00CE66BE">
        <w:rPr>
          <w:rFonts w:cstheme="minorHAnsi"/>
          <w:sz w:val="24"/>
          <w:szCs w:val="24"/>
          <w:lang w:val="en-GB"/>
        </w:rPr>
        <w:t xml:space="preserve"> had information on at least the first year</w:t>
      </w:r>
      <w:r w:rsidR="00506AC1" w:rsidRPr="00CE66BE">
        <w:rPr>
          <w:rFonts w:cstheme="minorHAnsi"/>
          <w:sz w:val="24"/>
          <w:szCs w:val="24"/>
          <w:lang w:val="en-GB"/>
        </w:rPr>
        <w:t>’</w:t>
      </w:r>
      <w:r w:rsidR="00852575" w:rsidRPr="00CE66BE">
        <w:rPr>
          <w:rFonts w:cstheme="minorHAnsi"/>
          <w:sz w:val="24"/>
          <w:szCs w:val="24"/>
          <w:lang w:val="en-GB"/>
        </w:rPr>
        <w:t>s survival.</w:t>
      </w:r>
    </w:p>
    <w:p w14:paraId="71A96AC0" w14:textId="71B7CBDC" w:rsidR="0088257F" w:rsidRDefault="00936F10" w:rsidP="00754F3C">
      <w:pPr>
        <w:spacing w:after="0" w:line="480" w:lineRule="auto"/>
        <w:rPr>
          <w:rFonts w:cstheme="minorHAnsi"/>
          <w:sz w:val="24"/>
          <w:szCs w:val="24"/>
          <w:lang w:val="en-GB"/>
        </w:rPr>
      </w:pPr>
      <w:r w:rsidRPr="00CE66BE">
        <w:rPr>
          <w:rFonts w:cstheme="minorHAnsi"/>
          <w:sz w:val="24"/>
          <w:szCs w:val="24"/>
          <w:lang w:val="en-GB"/>
        </w:rPr>
        <w:t>The CAs were classified according to the EUROCAT anomaly subgroups</w:t>
      </w:r>
      <w:r w:rsidR="001338C6">
        <w:rPr>
          <w:rFonts w:cstheme="minorHAnsi"/>
          <w:sz w:val="24"/>
          <w:szCs w:val="24"/>
          <w:vertAlign w:val="superscript"/>
          <w:lang w:val="en-GB"/>
        </w:rPr>
        <w:t>24</w:t>
      </w:r>
      <w:r w:rsidRPr="00CE66BE">
        <w:rPr>
          <w:rFonts w:cstheme="minorHAnsi"/>
          <w:sz w:val="24"/>
          <w:szCs w:val="24"/>
          <w:lang w:val="en-GB"/>
        </w:rPr>
        <w:t xml:space="preserve"> and this </w:t>
      </w:r>
      <w:r w:rsidR="002E69D5" w:rsidRPr="00CE66BE">
        <w:rPr>
          <w:rFonts w:cstheme="minorHAnsi"/>
          <w:sz w:val="24"/>
          <w:szCs w:val="24"/>
          <w:lang w:val="en-GB"/>
        </w:rPr>
        <w:t>paper reports on</w:t>
      </w:r>
      <w:r w:rsidR="00DA1694" w:rsidRPr="00CE66BE">
        <w:rPr>
          <w:rFonts w:cstheme="minorHAnsi"/>
          <w:sz w:val="24"/>
          <w:szCs w:val="24"/>
          <w:lang w:val="en-GB"/>
        </w:rPr>
        <w:t xml:space="preserve"> </w:t>
      </w:r>
      <w:r w:rsidR="00B3062E" w:rsidRPr="00CE66BE">
        <w:rPr>
          <w:rFonts w:cstheme="minorHAnsi"/>
          <w:sz w:val="24"/>
          <w:szCs w:val="24"/>
          <w:lang w:val="en-GB"/>
        </w:rPr>
        <w:t>‘</w:t>
      </w:r>
      <w:r w:rsidR="00060544" w:rsidRPr="00CE66BE">
        <w:rPr>
          <w:rFonts w:cstheme="minorHAnsi"/>
          <w:sz w:val="24"/>
          <w:szCs w:val="24"/>
          <w:lang w:val="en-GB"/>
        </w:rPr>
        <w:t>All anomalies</w:t>
      </w:r>
      <w:r w:rsidR="00B3062E" w:rsidRPr="00CE66BE">
        <w:rPr>
          <w:rFonts w:cstheme="minorHAnsi"/>
          <w:sz w:val="24"/>
          <w:szCs w:val="24"/>
          <w:lang w:val="en-GB"/>
        </w:rPr>
        <w:t>’</w:t>
      </w:r>
      <w:r w:rsidR="00060544" w:rsidRPr="00CE66BE">
        <w:rPr>
          <w:rFonts w:cstheme="minorHAnsi"/>
          <w:sz w:val="24"/>
          <w:szCs w:val="24"/>
          <w:lang w:val="en-GB"/>
        </w:rPr>
        <w:t xml:space="preserve"> which </w:t>
      </w:r>
      <w:r w:rsidR="002E69D5" w:rsidRPr="00CE66BE">
        <w:rPr>
          <w:rFonts w:cstheme="minorHAnsi"/>
          <w:sz w:val="24"/>
          <w:szCs w:val="24"/>
          <w:lang w:val="en-GB"/>
        </w:rPr>
        <w:t>includes all major CAs</w:t>
      </w:r>
      <w:r w:rsidR="00952A63" w:rsidRPr="00CE66BE">
        <w:rPr>
          <w:rFonts w:cstheme="minorHAnsi"/>
          <w:sz w:val="24"/>
          <w:szCs w:val="24"/>
          <w:lang w:val="en-GB"/>
        </w:rPr>
        <w:t>. Furthermore, we have investigated the major group of the</w:t>
      </w:r>
      <w:r w:rsidR="00B3062E" w:rsidRPr="00CE66BE">
        <w:rPr>
          <w:rFonts w:cstheme="minorHAnsi"/>
          <w:sz w:val="24"/>
          <w:szCs w:val="24"/>
          <w:lang w:val="en-GB"/>
        </w:rPr>
        <w:t xml:space="preserve"> </w:t>
      </w:r>
      <w:r w:rsidR="00C60A4B" w:rsidRPr="00CE66BE">
        <w:rPr>
          <w:rFonts w:cstheme="minorHAnsi"/>
          <w:sz w:val="24"/>
          <w:szCs w:val="24"/>
          <w:lang w:val="en-GB"/>
        </w:rPr>
        <w:t>‘</w:t>
      </w:r>
      <w:r w:rsidR="00A60720" w:rsidRPr="00CE66BE">
        <w:rPr>
          <w:rFonts w:cstheme="minorHAnsi"/>
          <w:sz w:val="24"/>
          <w:szCs w:val="24"/>
          <w:lang w:val="en-GB"/>
        </w:rPr>
        <w:t xml:space="preserve">isolated </w:t>
      </w:r>
      <w:r w:rsidR="00767FA6" w:rsidRPr="00CE66BE">
        <w:rPr>
          <w:rFonts w:cstheme="minorHAnsi"/>
          <w:sz w:val="24"/>
          <w:szCs w:val="24"/>
          <w:lang w:val="en-GB"/>
        </w:rPr>
        <w:t xml:space="preserve">severe </w:t>
      </w:r>
      <w:r w:rsidR="002E69D5" w:rsidRPr="00CE66BE">
        <w:rPr>
          <w:rFonts w:cstheme="minorHAnsi"/>
          <w:sz w:val="24"/>
          <w:szCs w:val="24"/>
          <w:lang w:val="en-GB"/>
        </w:rPr>
        <w:t>CHD</w:t>
      </w:r>
      <w:r w:rsidR="00B3062E" w:rsidRPr="00CE66BE">
        <w:rPr>
          <w:rFonts w:cstheme="minorHAnsi"/>
          <w:sz w:val="24"/>
          <w:szCs w:val="24"/>
          <w:lang w:val="en-GB"/>
        </w:rPr>
        <w:t>’</w:t>
      </w:r>
      <w:r w:rsidR="00DA1694" w:rsidRPr="00CE66BE">
        <w:rPr>
          <w:rFonts w:cstheme="minorHAnsi"/>
          <w:sz w:val="24"/>
          <w:szCs w:val="24"/>
          <w:lang w:val="en-GB"/>
        </w:rPr>
        <w:t xml:space="preserve"> which include</w:t>
      </w:r>
      <w:r w:rsidR="00060544" w:rsidRPr="00CE66BE">
        <w:rPr>
          <w:rFonts w:cstheme="minorHAnsi"/>
          <w:sz w:val="24"/>
          <w:szCs w:val="24"/>
          <w:lang w:val="en-GB"/>
        </w:rPr>
        <w:t>s</w:t>
      </w:r>
      <w:r w:rsidR="00DA1694" w:rsidRPr="00CE66BE">
        <w:rPr>
          <w:rFonts w:cstheme="minorHAnsi"/>
          <w:sz w:val="24"/>
          <w:szCs w:val="24"/>
          <w:lang w:val="en-GB"/>
        </w:rPr>
        <w:t xml:space="preserve"> the following specific subgroups: common arterial truncus, double outlet right ventricle, transposition of great vessels, single ventricle, atrioventricular septal defect, tetralogy of </w:t>
      </w:r>
      <w:proofErr w:type="spellStart"/>
      <w:r w:rsidR="00DA1694" w:rsidRPr="00CE66BE">
        <w:rPr>
          <w:rFonts w:cstheme="minorHAnsi"/>
          <w:sz w:val="24"/>
          <w:szCs w:val="24"/>
          <w:lang w:val="en-GB"/>
        </w:rPr>
        <w:t>Fallo</w:t>
      </w:r>
      <w:r w:rsidR="00252E1D" w:rsidRPr="00CE66BE">
        <w:rPr>
          <w:rFonts w:cstheme="minorHAnsi"/>
          <w:sz w:val="24"/>
          <w:szCs w:val="24"/>
          <w:lang w:val="en-GB"/>
        </w:rPr>
        <w:t>t</w:t>
      </w:r>
      <w:proofErr w:type="spellEnd"/>
      <w:r w:rsidR="00252E1D" w:rsidRPr="00CE66BE">
        <w:rPr>
          <w:rFonts w:cstheme="minorHAnsi"/>
          <w:sz w:val="24"/>
          <w:szCs w:val="24"/>
          <w:lang w:val="en-GB"/>
        </w:rPr>
        <w:t>, pulmonary valve atresia, tri</w:t>
      </w:r>
      <w:r w:rsidR="00DA1694" w:rsidRPr="00CE66BE">
        <w:rPr>
          <w:rFonts w:cstheme="minorHAnsi"/>
          <w:sz w:val="24"/>
          <w:szCs w:val="24"/>
          <w:lang w:val="en-GB"/>
        </w:rPr>
        <w:t xml:space="preserve">cuspid atresia and stenosis, </w:t>
      </w:r>
      <w:proofErr w:type="spellStart"/>
      <w:r w:rsidR="00DA1694" w:rsidRPr="00CE66BE">
        <w:rPr>
          <w:rFonts w:cstheme="minorHAnsi"/>
          <w:sz w:val="24"/>
          <w:szCs w:val="24"/>
          <w:lang w:val="en-GB"/>
        </w:rPr>
        <w:t>Ebstein</w:t>
      </w:r>
      <w:proofErr w:type="spellEnd"/>
      <w:r w:rsidR="00DA1694" w:rsidRPr="00CE66BE">
        <w:rPr>
          <w:rFonts w:cstheme="minorHAnsi"/>
          <w:sz w:val="24"/>
          <w:szCs w:val="24"/>
          <w:lang w:val="en-GB"/>
        </w:rPr>
        <w:t xml:space="preserve"> anomaly, </w:t>
      </w:r>
      <w:proofErr w:type="spellStart"/>
      <w:r w:rsidR="00DA1694" w:rsidRPr="00CE66BE">
        <w:rPr>
          <w:rFonts w:cstheme="minorHAnsi"/>
          <w:sz w:val="24"/>
          <w:szCs w:val="24"/>
          <w:lang w:val="en-GB"/>
        </w:rPr>
        <w:t>hypoplastic</w:t>
      </w:r>
      <w:proofErr w:type="spellEnd"/>
      <w:r w:rsidR="00DA1694" w:rsidRPr="00CE66BE">
        <w:rPr>
          <w:rFonts w:cstheme="minorHAnsi"/>
          <w:sz w:val="24"/>
          <w:szCs w:val="24"/>
          <w:lang w:val="en-GB"/>
        </w:rPr>
        <w:t xml:space="preserve"> right heart, aortic valve atresia/stenosis, mitral valve anomalies, </w:t>
      </w:r>
      <w:proofErr w:type="spellStart"/>
      <w:r w:rsidR="00DA1694" w:rsidRPr="00CE66BE">
        <w:rPr>
          <w:rFonts w:cstheme="minorHAnsi"/>
          <w:sz w:val="24"/>
          <w:szCs w:val="24"/>
          <w:lang w:val="en-GB"/>
        </w:rPr>
        <w:t>hypoplastic</w:t>
      </w:r>
      <w:proofErr w:type="spellEnd"/>
      <w:r w:rsidR="00DA1694" w:rsidRPr="00CE66BE">
        <w:rPr>
          <w:rFonts w:cstheme="minorHAnsi"/>
          <w:sz w:val="24"/>
          <w:szCs w:val="24"/>
          <w:lang w:val="en-GB"/>
        </w:rPr>
        <w:t xml:space="preserve"> left heart, </w:t>
      </w:r>
      <w:proofErr w:type="spellStart"/>
      <w:r w:rsidR="00DA1694" w:rsidRPr="00CE66BE">
        <w:rPr>
          <w:rFonts w:cstheme="minorHAnsi"/>
          <w:sz w:val="24"/>
          <w:szCs w:val="24"/>
          <w:lang w:val="en-GB"/>
        </w:rPr>
        <w:t>coarctation</w:t>
      </w:r>
      <w:proofErr w:type="spellEnd"/>
      <w:r w:rsidR="00DA1694" w:rsidRPr="00CE66BE">
        <w:rPr>
          <w:rFonts w:cstheme="minorHAnsi"/>
          <w:sz w:val="24"/>
          <w:szCs w:val="24"/>
          <w:lang w:val="en-GB"/>
        </w:rPr>
        <w:t xml:space="preserve"> of aorta, aortic atresia/interrupted aortic arch, total anomalous pulmonary venous return</w:t>
      </w:r>
      <w:r w:rsidR="0068442C" w:rsidRPr="00CE66BE">
        <w:rPr>
          <w:rFonts w:cstheme="minorHAnsi"/>
          <w:sz w:val="24"/>
          <w:szCs w:val="24"/>
          <w:lang w:val="en-GB"/>
        </w:rPr>
        <w:t>.</w:t>
      </w:r>
      <w:r w:rsidR="002E69D5" w:rsidRPr="00CE66BE">
        <w:rPr>
          <w:rFonts w:cstheme="minorHAnsi"/>
          <w:sz w:val="24"/>
          <w:szCs w:val="24"/>
          <w:lang w:val="en-GB"/>
        </w:rPr>
        <w:t xml:space="preserve"> </w:t>
      </w:r>
      <w:r w:rsidR="00C56779" w:rsidRPr="00CE66BE">
        <w:rPr>
          <w:rFonts w:cstheme="minorHAnsi"/>
          <w:sz w:val="24"/>
          <w:szCs w:val="24"/>
          <w:lang w:val="en-GB"/>
        </w:rPr>
        <w:t>“Isolated” means that the child had no associated anomalies in other organ systems or a genetic diagnosis.</w:t>
      </w:r>
    </w:p>
    <w:p w14:paraId="5E88B8E4" w14:textId="77777777" w:rsidR="00E214D3" w:rsidRDefault="00E214D3" w:rsidP="00754F3C">
      <w:pPr>
        <w:spacing w:after="0" w:line="480" w:lineRule="auto"/>
        <w:rPr>
          <w:rFonts w:cstheme="minorHAnsi"/>
          <w:b/>
          <w:sz w:val="24"/>
          <w:szCs w:val="24"/>
          <w:lang w:val="en-GB"/>
        </w:rPr>
      </w:pPr>
    </w:p>
    <w:p w14:paraId="25392640" w14:textId="708FFA78" w:rsidR="00A65E1A" w:rsidRPr="00A65E1A" w:rsidRDefault="00A65E1A" w:rsidP="00754F3C">
      <w:pPr>
        <w:spacing w:after="0" w:line="480" w:lineRule="auto"/>
        <w:rPr>
          <w:rFonts w:cstheme="minorHAnsi"/>
          <w:b/>
          <w:sz w:val="24"/>
          <w:szCs w:val="24"/>
          <w:lang w:val="en-GB"/>
        </w:rPr>
      </w:pPr>
      <w:r w:rsidRPr="00A65E1A">
        <w:rPr>
          <w:rFonts w:cstheme="minorHAnsi"/>
          <w:b/>
          <w:sz w:val="24"/>
          <w:szCs w:val="24"/>
          <w:lang w:val="en-GB"/>
        </w:rPr>
        <w:t>Outcomes</w:t>
      </w:r>
    </w:p>
    <w:p w14:paraId="1B27E7A7" w14:textId="6A014987" w:rsidR="00A65E1A" w:rsidRDefault="00A65E1A" w:rsidP="00754F3C">
      <w:pPr>
        <w:spacing w:after="0" w:line="480" w:lineRule="auto"/>
        <w:rPr>
          <w:rFonts w:cstheme="minorHAnsi"/>
          <w:sz w:val="24"/>
          <w:szCs w:val="24"/>
          <w:lang w:val="en-GB"/>
        </w:rPr>
      </w:pPr>
      <w:r>
        <w:rPr>
          <w:rFonts w:cstheme="minorHAnsi"/>
          <w:sz w:val="24"/>
          <w:szCs w:val="24"/>
          <w:lang w:val="en-GB"/>
        </w:rPr>
        <w:lastRenderedPageBreak/>
        <w:t xml:space="preserve">We considered the following outcomes: survival </w:t>
      </w:r>
      <w:r w:rsidRPr="00CE66BE">
        <w:rPr>
          <w:rFonts w:cstheme="minorHAnsi"/>
          <w:color w:val="000000"/>
          <w:sz w:val="24"/>
          <w:szCs w:val="24"/>
          <w:lang w:val="en-GB"/>
        </w:rPr>
        <w:t>at 28 days and 5 years of age</w:t>
      </w:r>
      <w:r>
        <w:rPr>
          <w:rFonts w:cstheme="minorHAnsi"/>
          <w:color w:val="000000"/>
          <w:sz w:val="24"/>
          <w:szCs w:val="24"/>
          <w:lang w:val="en-GB"/>
        </w:rPr>
        <w:t xml:space="preserve">; </w:t>
      </w:r>
      <w:r w:rsidRPr="00CE66BE">
        <w:rPr>
          <w:rFonts w:cstheme="minorHAnsi"/>
          <w:sz w:val="24"/>
          <w:szCs w:val="24"/>
          <w:lang w:val="en-GB"/>
        </w:rPr>
        <w:t>5-year survival conditional on having survived at 28 days</w:t>
      </w:r>
      <w:r>
        <w:rPr>
          <w:rFonts w:cstheme="minorHAnsi"/>
          <w:sz w:val="24"/>
          <w:szCs w:val="24"/>
          <w:lang w:val="en-GB"/>
        </w:rPr>
        <w:t xml:space="preserve">; </w:t>
      </w:r>
      <w:r w:rsidR="00261294">
        <w:rPr>
          <w:rFonts w:cstheme="minorHAnsi"/>
          <w:sz w:val="24"/>
          <w:szCs w:val="24"/>
          <w:lang w:val="en-GB"/>
        </w:rPr>
        <w:t>m</w:t>
      </w:r>
      <w:r>
        <w:rPr>
          <w:rFonts w:cstheme="minorHAnsi"/>
          <w:sz w:val="24"/>
          <w:szCs w:val="24"/>
          <w:lang w:val="en-GB"/>
        </w:rPr>
        <w:t xml:space="preserve">ortality </w:t>
      </w:r>
      <w:r w:rsidR="00261294">
        <w:rPr>
          <w:rFonts w:cstheme="minorHAnsi"/>
          <w:sz w:val="24"/>
          <w:szCs w:val="24"/>
          <w:lang w:val="en-GB"/>
        </w:rPr>
        <w:t>h</w:t>
      </w:r>
      <w:r>
        <w:rPr>
          <w:rFonts w:cstheme="minorHAnsi"/>
          <w:sz w:val="24"/>
          <w:szCs w:val="24"/>
          <w:lang w:val="en-GB"/>
        </w:rPr>
        <w:t>azard</w:t>
      </w:r>
      <w:r w:rsidRPr="00A65E1A">
        <w:rPr>
          <w:rFonts w:cstheme="minorHAnsi"/>
          <w:sz w:val="24"/>
          <w:szCs w:val="24"/>
          <w:lang w:val="en-GB"/>
        </w:rPr>
        <w:t xml:space="preserve"> </w:t>
      </w:r>
      <w:r w:rsidRPr="00CE66BE">
        <w:rPr>
          <w:rFonts w:cstheme="minorHAnsi"/>
          <w:sz w:val="24"/>
          <w:szCs w:val="24"/>
          <w:lang w:val="en-GB"/>
        </w:rPr>
        <w:t>at 1 year and 1-9 years of age</w:t>
      </w:r>
      <w:r>
        <w:rPr>
          <w:rFonts w:cstheme="minorHAnsi"/>
          <w:sz w:val="24"/>
          <w:szCs w:val="24"/>
          <w:lang w:val="en-GB"/>
        </w:rPr>
        <w:t xml:space="preserve">; </w:t>
      </w:r>
      <w:r w:rsidRPr="00CE66BE">
        <w:rPr>
          <w:rFonts w:cstheme="minorHAnsi"/>
          <w:sz w:val="24"/>
          <w:szCs w:val="24"/>
          <w:lang w:val="en-GB"/>
        </w:rPr>
        <w:t>Infant mortality (at &lt; 1 year of age) in children with CAs per 10,000 live births</w:t>
      </w:r>
      <w:r w:rsidR="001925A3">
        <w:rPr>
          <w:rFonts w:cstheme="minorHAnsi"/>
          <w:sz w:val="24"/>
          <w:szCs w:val="24"/>
          <w:lang w:val="en-GB"/>
        </w:rPr>
        <w:t>.</w:t>
      </w:r>
    </w:p>
    <w:p w14:paraId="100FDA07" w14:textId="77777777" w:rsidR="00AA4F2C" w:rsidRDefault="00AA4F2C" w:rsidP="00754F3C">
      <w:pPr>
        <w:spacing w:after="0" w:line="480" w:lineRule="auto"/>
        <w:rPr>
          <w:rFonts w:cstheme="minorHAnsi"/>
          <w:b/>
          <w:sz w:val="24"/>
          <w:szCs w:val="24"/>
          <w:lang w:val="en-GB"/>
        </w:rPr>
      </w:pPr>
    </w:p>
    <w:p w14:paraId="1DEA2CC5" w14:textId="344682AC" w:rsidR="00F6227F" w:rsidRPr="00A65E1A" w:rsidRDefault="00F6227F" w:rsidP="00754F3C">
      <w:pPr>
        <w:spacing w:after="0" w:line="480" w:lineRule="auto"/>
        <w:rPr>
          <w:rFonts w:cstheme="minorHAnsi"/>
          <w:b/>
          <w:sz w:val="24"/>
          <w:szCs w:val="24"/>
          <w:lang w:val="en-GB"/>
        </w:rPr>
      </w:pPr>
      <w:r w:rsidRPr="00A65E1A">
        <w:rPr>
          <w:rFonts w:cstheme="minorHAnsi"/>
          <w:b/>
          <w:sz w:val="24"/>
          <w:szCs w:val="24"/>
          <w:lang w:val="en-GB"/>
        </w:rPr>
        <w:t>Statistical analysis</w:t>
      </w:r>
    </w:p>
    <w:p w14:paraId="55229C87" w14:textId="33149CE7" w:rsidR="0088257F" w:rsidRPr="00CE66BE" w:rsidRDefault="002E69D5" w:rsidP="00754F3C">
      <w:pPr>
        <w:spacing w:after="0" w:line="480" w:lineRule="auto"/>
        <w:rPr>
          <w:rFonts w:cstheme="minorHAnsi"/>
          <w:sz w:val="24"/>
          <w:szCs w:val="24"/>
          <w:lang w:val="en-GB"/>
        </w:rPr>
      </w:pPr>
      <w:r w:rsidRPr="00CE66BE">
        <w:rPr>
          <w:rFonts w:cstheme="minorHAnsi"/>
          <w:sz w:val="24"/>
          <w:szCs w:val="24"/>
          <w:lang w:val="en-GB"/>
        </w:rPr>
        <w:t xml:space="preserve">For each </w:t>
      </w:r>
      <w:r w:rsidR="0088257F" w:rsidRPr="00CE66BE">
        <w:rPr>
          <w:rFonts w:cstheme="minorHAnsi"/>
          <w:sz w:val="24"/>
          <w:szCs w:val="24"/>
          <w:lang w:val="en-GB"/>
        </w:rPr>
        <w:t>CA</w:t>
      </w:r>
      <w:r w:rsidRPr="00CE66BE">
        <w:rPr>
          <w:rFonts w:cstheme="minorHAnsi"/>
          <w:sz w:val="24"/>
          <w:szCs w:val="24"/>
          <w:lang w:val="en-GB"/>
        </w:rPr>
        <w:t xml:space="preserve"> subgroup, s</w:t>
      </w:r>
      <w:r w:rsidR="002824E5" w:rsidRPr="00CE66BE">
        <w:rPr>
          <w:rFonts w:cstheme="minorHAnsi"/>
          <w:sz w:val="24"/>
          <w:szCs w:val="24"/>
          <w:lang w:val="en-GB"/>
        </w:rPr>
        <w:t xml:space="preserve">urvival </w:t>
      </w:r>
      <w:r w:rsidRPr="00CE66BE">
        <w:rPr>
          <w:rFonts w:cstheme="minorHAnsi"/>
          <w:sz w:val="24"/>
          <w:szCs w:val="24"/>
          <w:lang w:val="en-GB"/>
        </w:rPr>
        <w:t xml:space="preserve">at </w:t>
      </w:r>
      <w:r w:rsidR="002824E5" w:rsidRPr="00CE66BE">
        <w:rPr>
          <w:rFonts w:cstheme="minorHAnsi"/>
          <w:sz w:val="24"/>
          <w:szCs w:val="24"/>
          <w:lang w:val="en-GB"/>
        </w:rPr>
        <w:t>specific age</w:t>
      </w:r>
      <w:r w:rsidRPr="00CE66BE">
        <w:rPr>
          <w:rFonts w:cstheme="minorHAnsi"/>
          <w:sz w:val="24"/>
          <w:szCs w:val="24"/>
          <w:lang w:val="en-GB"/>
        </w:rPr>
        <w:t>s</w:t>
      </w:r>
      <w:r w:rsidR="002824E5" w:rsidRPr="00CE66BE">
        <w:rPr>
          <w:rFonts w:cstheme="minorHAnsi"/>
          <w:sz w:val="24"/>
          <w:szCs w:val="24"/>
          <w:lang w:val="en-GB"/>
        </w:rPr>
        <w:t xml:space="preserve"> was estimated by Kaplan-Meier survival analysis</w:t>
      </w:r>
      <w:r w:rsidR="00852575" w:rsidRPr="00CE66BE">
        <w:rPr>
          <w:rFonts w:cstheme="minorHAnsi"/>
          <w:sz w:val="24"/>
          <w:szCs w:val="24"/>
          <w:lang w:val="en-GB"/>
        </w:rPr>
        <w:t xml:space="preserve"> to account for the censoring that </w:t>
      </w:r>
      <w:r w:rsidR="00B56936" w:rsidRPr="00CE66BE">
        <w:rPr>
          <w:rFonts w:cstheme="minorHAnsi"/>
          <w:sz w:val="24"/>
          <w:szCs w:val="24"/>
          <w:lang w:val="en-GB"/>
        </w:rPr>
        <w:t>occurred</w:t>
      </w:r>
      <w:r w:rsidR="002824E5" w:rsidRPr="00704350">
        <w:rPr>
          <w:rFonts w:cstheme="minorHAnsi"/>
          <w:sz w:val="24"/>
          <w:szCs w:val="24"/>
          <w:lang w:val="en-GB"/>
        </w:rPr>
        <w:t>.</w:t>
      </w:r>
      <w:r w:rsidR="008063DB" w:rsidRPr="00704350">
        <w:rPr>
          <w:sz w:val="24"/>
          <w:szCs w:val="24"/>
          <w:lang w:val="en-US"/>
        </w:rPr>
        <w:t xml:space="preserve"> </w:t>
      </w:r>
      <w:r w:rsidR="00D54340" w:rsidRPr="00CE66BE">
        <w:rPr>
          <w:rFonts w:cstheme="minorHAnsi"/>
          <w:color w:val="000000"/>
          <w:sz w:val="24"/>
          <w:szCs w:val="24"/>
          <w:lang w:val="en-GB"/>
        </w:rPr>
        <w:t>S</w:t>
      </w:r>
      <w:r w:rsidR="002824E5" w:rsidRPr="00CE66BE">
        <w:rPr>
          <w:rFonts w:cstheme="minorHAnsi"/>
          <w:color w:val="000000"/>
          <w:sz w:val="24"/>
          <w:szCs w:val="24"/>
          <w:lang w:val="en-GB"/>
        </w:rPr>
        <w:t>urvival estimates at 2</w:t>
      </w:r>
      <w:r w:rsidR="001C06A4" w:rsidRPr="00CE66BE">
        <w:rPr>
          <w:rFonts w:cstheme="minorHAnsi"/>
          <w:color w:val="000000"/>
          <w:sz w:val="24"/>
          <w:szCs w:val="24"/>
          <w:lang w:val="en-GB"/>
        </w:rPr>
        <w:t>8</w:t>
      </w:r>
      <w:r w:rsidR="002824E5" w:rsidRPr="00CE66BE">
        <w:rPr>
          <w:rFonts w:cstheme="minorHAnsi"/>
          <w:color w:val="000000"/>
          <w:sz w:val="24"/>
          <w:szCs w:val="24"/>
          <w:lang w:val="en-GB"/>
        </w:rPr>
        <w:t xml:space="preserve"> days and 5 years </w:t>
      </w:r>
      <w:r w:rsidR="00D95353" w:rsidRPr="00CE66BE">
        <w:rPr>
          <w:rFonts w:cstheme="minorHAnsi"/>
          <w:color w:val="000000"/>
          <w:sz w:val="24"/>
          <w:szCs w:val="24"/>
          <w:lang w:val="en-GB"/>
        </w:rPr>
        <w:t xml:space="preserve">of age with 95% </w:t>
      </w:r>
      <w:r w:rsidR="006E648F" w:rsidRPr="00CE66BE">
        <w:rPr>
          <w:rFonts w:cstheme="minorHAnsi"/>
          <w:color w:val="000000"/>
          <w:sz w:val="24"/>
          <w:szCs w:val="24"/>
          <w:lang w:val="en-GB"/>
        </w:rPr>
        <w:t>confidence intervals (CI)</w:t>
      </w:r>
      <w:r w:rsidR="00D95353" w:rsidRPr="00CE66BE">
        <w:rPr>
          <w:rFonts w:cstheme="minorHAnsi"/>
          <w:color w:val="000000"/>
          <w:sz w:val="24"/>
          <w:szCs w:val="24"/>
          <w:lang w:val="en-GB"/>
        </w:rPr>
        <w:t xml:space="preserve"> were </w:t>
      </w:r>
      <w:r w:rsidR="00A11EF4">
        <w:rPr>
          <w:rFonts w:cstheme="minorHAnsi"/>
          <w:color w:val="000000"/>
          <w:sz w:val="24"/>
          <w:szCs w:val="24"/>
          <w:lang w:val="en-GB"/>
        </w:rPr>
        <w:t xml:space="preserve">calculated </w:t>
      </w:r>
      <w:r w:rsidR="00D95353" w:rsidRPr="00CE66BE">
        <w:rPr>
          <w:rFonts w:cstheme="minorHAnsi"/>
          <w:color w:val="000000"/>
          <w:sz w:val="24"/>
          <w:szCs w:val="24"/>
          <w:lang w:val="en-GB"/>
        </w:rPr>
        <w:t>by registry.</w:t>
      </w:r>
      <w:r w:rsidR="00A11EF4">
        <w:rPr>
          <w:rFonts w:cstheme="minorHAnsi"/>
          <w:color w:val="000000"/>
          <w:sz w:val="24"/>
          <w:szCs w:val="24"/>
          <w:lang w:val="en-GB"/>
        </w:rPr>
        <w:t xml:space="preserve"> </w:t>
      </w:r>
      <w:r w:rsidR="00A11EF4">
        <w:rPr>
          <w:sz w:val="24"/>
          <w:szCs w:val="24"/>
          <w:lang w:val="en-US"/>
        </w:rPr>
        <w:t>The software Stata (</w:t>
      </w:r>
      <w:r w:rsidR="00A11EF4" w:rsidRPr="00CE66BE">
        <w:rPr>
          <w:rFonts w:cstheme="minorHAnsi"/>
          <w:sz w:val="24"/>
          <w:szCs w:val="24"/>
          <w:lang w:val="en-GB"/>
        </w:rPr>
        <w:t>version 16.0</w:t>
      </w:r>
      <w:r w:rsidR="00A11EF4">
        <w:rPr>
          <w:rFonts w:cstheme="minorHAnsi"/>
          <w:sz w:val="24"/>
          <w:szCs w:val="24"/>
          <w:lang w:val="en-GB"/>
        </w:rPr>
        <w:t xml:space="preserve">,  </w:t>
      </w:r>
      <w:proofErr w:type="spellStart"/>
      <w:r w:rsidR="00A11EF4" w:rsidRPr="00CE66BE">
        <w:rPr>
          <w:rFonts w:cstheme="minorHAnsi"/>
          <w:sz w:val="24"/>
          <w:szCs w:val="24"/>
          <w:lang w:val="en-GB"/>
        </w:rPr>
        <w:t>StataCorp</w:t>
      </w:r>
      <w:proofErr w:type="spellEnd"/>
      <w:r w:rsidR="00A11EF4" w:rsidRPr="00CE66BE">
        <w:rPr>
          <w:rFonts w:cstheme="minorHAnsi"/>
          <w:sz w:val="24"/>
          <w:szCs w:val="24"/>
          <w:lang w:val="en-GB"/>
        </w:rPr>
        <w:t xml:space="preserve"> LP, College Station, TX, USA)</w:t>
      </w:r>
      <w:r w:rsidR="00A11EF4">
        <w:rPr>
          <w:sz w:val="24"/>
          <w:szCs w:val="24"/>
          <w:lang w:val="en-US"/>
        </w:rPr>
        <w:t xml:space="preserve">, used to perform the statistical analysis,  </w:t>
      </w:r>
      <w:r w:rsidR="00A11EF4" w:rsidRPr="00704350">
        <w:rPr>
          <w:sz w:val="24"/>
          <w:szCs w:val="24"/>
          <w:lang w:val="en-US"/>
        </w:rPr>
        <w:t xml:space="preserve">calculates the Kaplan Meier survival estimates using the ln(-ln(S(t))) transformation, which means that the calculated 95% confidence intervals are symmetric on the ln(ln)) scale, but will not appear symmetric when transformed back to the proportions of children surviving. </w:t>
      </w:r>
      <w:r w:rsidR="00A11EF4" w:rsidRPr="00CE66BE">
        <w:rPr>
          <w:rFonts w:cstheme="minorHAnsi"/>
          <w:sz w:val="24"/>
          <w:szCs w:val="24"/>
          <w:lang w:val="en-GB"/>
        </w:rPr>
        <w:t xml:space="preserve"> </w:t>
      </w:r>
      <w:r w:rsidR="00D95353" w:rsidRPr="00CE66BE">
        <w:rPr>
          <w:rFonts w:cstheme="minorHAnsi"/>
          <w:sz w:val="24"/>
          <w:szCs w:val="24"/>
          <w:lang w:val="en-GB"/>
        </w:rPr>
        <w:t xml:space="preserve">For </w:t>
      </w:r>
      <w:r w:rsidR="008603C0" w:rsidRPr="00CE66BE">
        <w:rPr>
          <w:rFonts w:cstheme="minorHAnsi"/>
          <w:sz w:val="24"/>
          <w:szCs w:val="24"/>
          <w:lang w:val="en-GB"/>
        </w:rPr>
        <w:t xml:space="preserve">the </w:t>
      </w:r>
      <w:r w:rsidR="00D95353" w:rsidRPr="00CE66BE">
        <w:rPr>
          <w:rFonts w:cstheme="minorHAnsi"/>
          <w:sz w:val="24"/>
          <w:szCs w:val="24"/>
          <w:lang w:val="en-GB"/>
        </w:rPr>
        <w:t>Antwerp</w:t>
      </w:r>
      <w:r w:rsidR="00826BAF" w:rsidRPr="00CE66BE">
        <w:rPr>
          <w:rFonts w:cstheme="minorHAnsi"/>
          <w:sz w:val="24"/>
          <w:szCs w:val="24"/>
          <w:lang w:val="en-GB"/>
        </w:rPr>
        <w:t xml:space="preserve"> (Belgium)</w:t>
      </w:r>
      <w:r w:rsidR="00D95353" w:rsidRPr="00CE66BE">
        <w:rPr>
          <w:rFonts w:cstheme="minorHAnsi"/>
          <w:sz w:val="24"/>
          <w:szCs w:val="24"/>
          <w:lang w:val="en-GB"/>
        </w:rPr>
        <w:t xml:space="preserve"> registry</w:t>
      </w:r>
      <w:r w:rsidR="00D5071C" w:rsidRPr="00CE66BE">
        <w:rPr>
          <w:rFonts w:cstheme="minorHAnsi"/>
          <w:sz w:val="24"/>
          <w:szCs w:val="24"/>
          <w:lang w:val="en-GB"/>
        </w:rPr>
        <w:t>,</w:t>
      </w:r>
      <w:r w:rsidR="00D95353" w:rsidRPr="00CE66BE">
        <w:rPr>
          <w:rFonts w:cstheme="minorHAnsi"/>
          <w:sz w:val="24"/>
          <w:szCs w:val="24"/>
          <w:lang w:val="en-GB"/>
        </w:rPr>
        <w:t xml:space="preserve"> only deaths during the first year of life were available</w:t>
      </w:r>
      <w:r w:rsidR="000A4B60" w:rsidRPr="00CE66BE">
        <w:rPr>
          <w:rFonts w:cstheme="minorHAnsi"/>
          <w:sz w:val="24"/>
          <w:szCs w:val="24"/>
          <w:lang w:val="en-GB"/>
        </w:rPr>
        <w:t xml:space="preserve">, so </w:t>
      </w:r>
      <w:r w:rsidR="00E83051" w:rsidRPr="00CE66BE">
        <w:rPr>
          <w:rFonts w:cstheme="minorHAnsi"/>
          <w:sz w:val="24"/>
          <w:szCs w:val="24"/>
          <w:lang w:val="en-GB"/>
        </w:rPr>
        <w:t xml:space="preserve">this registry was </w:t>
      </w:r>
      <w:r w:rsidRPr="00CE66BE">
        <w:rPr>
          <w:rFonts w:cstheme="minorHAnsi"/>
          <w:sz w:val="24"/>
          <w:szCs w:val="24"/>
          <w:lang w:val="en-GB"/>
        </w:rPr>
        <w:t xml:space="preserve">excluded from survival analysis </w:t>
      </w:r>
      <w:r w:rsidR="00E83051" w:rsidRPr="00CE66BE">
        <w:rPr>
          <w:rFonts w:cstheme="minorHAnsi"/>
          <w:sz w:val="24"/>
          <w:szCs w:val="24"/>
          <w:lang w:val="en-GB"/>
        </w:rPr>
        <w:t>beyond 1 year</w:t>
      </w:r>
      <w:r w:rsidR="000A4B60" w:rsidRPr="00CE66BE">
        <w:rPr>
          <w:rFonts w:cstheme="minorHAnsi"/>
          <w:sz w:val="24"/>
          <w:szCs w:val="24"/>
          <w:lang w:val="en-GB"/>
        </w:rPr>
        <w:t>.</w:t>
      </w:r>
      <w:r w:rsidR="00C156C9" w:rsidRPr="00CE66BE">
        <w:rPr>
          <w:rFonts w:cstheme="minorHAnsi"/>
          <w:sz w:val="24"/>
          <w:szCs w:val="24"/>
          <w:lang w:val="en-GB"/>
        </w:rPr>
        <w:t xml:space="preserve"> Random-</w:t>
      </w:r>
      <w:r w:rsidR="0040173D" w:rsidRPr="00CE66BE">
        <w:rPr>
          <w:rFonts w:cstheme="minorHAnsi"/>
          <w:sz w:val="24"/>
          <w:szCs w:val="24"/>
          <w:lang w:val="en-GB"/>
        </w:rPr>
        <w:t>effects meta-analysis o</w:t>
      </w:r>
      <w:r w:rsidR="00C156C9" w:rsidRPr="00CE66BE">
        <w:rPr>
          <w:rFonts w:cstheme="minorHAnsi"/>
          <w:sz w:val="24"/>
          <w:szCs w:val="24"/>
          <w:lang w:val="en-GB"/>
        </w:rPr>
        <w:t>f</w:t>
      </w:r>
      <w:r w:rsidR="0040173D" w:rsidRPr="00CE66BE">
        <w:rPr>
          <w:rFonts w:cstheme="minorHAnsi"/>
          <w:sz w:val="24"/>
          <w:szCs w:val="24"/>
          <w:lang w:val="en-GB"/>
        </w:rPr>
        <w:t xml:space="preserve"> the survival estimates at both age</w:t>
      </w:r>
      <w:r w:rsidR="00C156C9" w:rsidRPr="00CE66BE">
        <w:rPr>
          <w:rFonts w:cstheme="minorHAnsi"/>
          <w:sz w:val="24"/>
          <w:szCs w:val="24"/>
          <w:lang w:val="en-GB"/>
        </w:rPr>
        <w:t xml:space="preserve"> points</w:t>
      </w:r>
      <w:r w:rsidR="0040173D" w:rsidRPr="00CE66BE">
        <w:rPr>
          <w:rFonts w:cstheme="minorHAnsi"/>
          <w:sz w:val="24"/>
          <w:szCs w:val="24"/>
          <w:lang w:val="en-GB"/>
        </w:rPr>
        <w:t xml:space="preserve"> were performed and t</w:t>
      </w:r>
      <w:r w:rsidR="00485622" w:rsidRPr="00CE66BE">
        <w:rPr>
          <w:rFonts w:cstheme="minorHAnsi"/>
          <w:sz w:val="24"/>
          <w:szCs w:val="24"/>
          <w:lang w:val="en-GB"/>
        </w:rPr>
        <w:t>he I</w:t>
      </w:r>
      <w:r w:rsidR="00485622" w:rsidRPr="00CE66BE">
        <w:rPr>
          <w:rFonts w:cstheme="minorHAnsi"/>
          <w:sz w:val="24"/>
          <w:szCs w:val="24"/>
          <w:vertAlign w:val="superscript"/>
          <w:lang w:val="en-GB"/>
        </w:rPr>
        <w:t>2</w:t>
      </w:r>
      <w:r w:rsidR="00485622" w:rsidRPr="00CE66BE">
        <w:rPr>
          <w:rFonts w:cstheme="minorHAnsi"/>
          <w:sz w:val="24"/>
          <w:szCs w:val="24"/>
          <w:lang w:val="en-GB"/>
        </w:rPr>
        <w:t xml:space="preserve"> statistic was used to assess the between-registry heterogeneity</w:t>
      </w:r>
      <w:r w:rsidR="00C462A0" w:rsidRPr="00CE66BE">
        <w:rPr>
          <w:rFonts w:cstheme="minorHAnsi"/>
          <w:sz w:val="24"/>
          <w:szCs w:val="24"/>
          <w:lang w:val="en-GB"/>
        </w:rPr>
        <w:t>.</w:t>
      </w:r>
    </w:p>
    <w:p w14:paraId="2974E4E9" w14:textId="5F8CBD58" w:rsidR="0088257F" w:rsidRPr="00CE66BE" w:rsidRDefault="00506AC1" w:rsidP="00754F3C">
      <w:pPr>
        <w:spacing w:after="0" w:line="480" w:lineRule="auto"/>
        <w:rPr>
          <w:rFonts w:cstheme="minorHAnsi"/>
          <w:sz w:val="24"/>
          <w:szCs w:val="24"/>
          <w:lang w:val="en-GB"/>
        </w:rPr>
      </w:pPr>
      <w:r w:rsidRPr="00CE66BE">
        <w:rPr>
          <w:rFonts w:cstheme="minorHAnsi"/>
          <w:sz w:val="24"/>
          <w:szCs w:val="24"/>
          <w:lang w:val="en-GB"/>
        </w:rPr>
        <w:t xml:space="preserve">For </w:t>
      </w:r>
      <w:r w:rsidR="0040173D" w:rsidRPr="00CE66BE">
        <w:rPr>
          <w:rFonts w:cstheme="minorHAnsi"/>
          <w:sz w:val="24"/>
          <w:szCs w:val="24"/>
          <w:lang w:val="en-GB"/>
        </w:rPr>
        <w:t xml:space="preserve">the </w:t>
      </w:r>
      <w:r w:rsidR="00A60BCA" w:rsidRPr="00CE66BE">
        <w:rPr>
          <w:rFonts w:cstheme="minorHAnsi"/>
          <w:sz w:val="24"/>
          <w:szCs w:val="24"/>
          <w:lang w:val="en-GB"/>
        </w:rPr>
        <w:t>nine</w:t>
      </w:r>
      <w:r w:rsidRPr="00CE66BE">
        <w:rPr>
          <w:rFonts w:cstheme="minorHAnsi"/>
          <w:sz w:val="24"/>
          <w:szCs w:val="24"/>
          <w:lang w:val="en-GB"/>
        </w:rPr>
        <w:t xml:space="preserve"> registries with data on live births during 1995-2004</w:t>
      </w:r>
      <w:r w:rsidR="0040173D" w:rsidRPr="00CE66BE">
        <w:rPr>
          <w:rFonts w:cstheme="minorHAnsi"/>
          <w:sz w:val="24"/>
          <w:szCs w:val="24"/>
          <w:lang w:val="en-GB"/>
        </w:rPr>
        <w:t>,</w:t>
      </w:r>
      <w:r w:rsidRPr="00CE66BE">
        <w:rPr>
          <w:rFonts w:cstheme="minorHAnsi"/>
          <w:sz w:val="24"/>
          <w:szCs w:val="24"/>
          <w:lang w:val="en-GB"/>
        </w:rPr>
        <w:t xml:space="preserve"> </w:t>
      </w:r>
      <w:r w:rsidR="0040173D" w:rsidRPr="00CE66BE">
        <w:rPr>
          <w:rFonts w:cstheme="minorHAnsi"/>
          <w:sz w:val="24"/>
          <w:szCs w:val="24"/>
          <w:lang w:val="en-GB"/>
        </w:rPr>
        <w:t xml:space="preserve">Cox’s proportional hazards models were fitted to </w:t>
      </w:r>
      <w:r w:rsidRPr="00CE66BE">
        <w:rPr>
          <w:rFonts w:cstheme="minorHAnsi"/>
          <w:sz w:val="24"/>
          <w:szCs w:val="24"/>
          <w:lang w:val="en-GB"/>
        </w:rPr>
        <w:t>compar</w:t>
      </w:r>
      <w:r w:rsidR="0040173D" w:rsidRPr="00CE66BE">
        <w:rPr>
          <w:rFonts w:cstheme="minorHAnsi"/>
          <w:sz w:val="24"/>
          <w:szCs w:val="24"/>
          <w:lang w:val="en-GB"/>
        </w:rPr>
        <w:t>e</w:t>
      </w:r>
      <w:r w:rsidRPr="00CE66BE">
        <w:rPr>
          <w:rFonts w:cstheme="minorHAnsi"/>
          <w:sz w:val="24"/>
          <w:szCs w:val="24"/>
          <w:lang w:val="en-GB"/>
        </w:rPr>
        <w:t xml:space="preserve"> </w:t>
      </w:r>
      <w:r w:rsidR="00314DC8" w:rsidRPr="00CE66BE">
        <w:rPr>
          <w:rFonts w:cstheme="minorHAnsi"/>
          <w:sz w:val="24"/>
          <w:szCs w:val="24"/>
          <w:lang w:val="en-GB"/>
        </w:rPr>
        <w:t>survival</w:t>
      </w:r>
      <w:r w:rsidRPr="00CE66BE">
        <w:rPr>
          <w:rFonts w:cstheme="minorHAnsi"/>
          <w:sz w:val="24"/>
          <w:szCs w:val="24"/>
          <w:lang w:val="en-GB"/>
        </w:rPr>
        <w:t xml:space="preserve"> of</w:t>
      </w:r>
      <w:r w:rsidR="00314DC8" w:rsidRPr="00CE66BE">
        <w:rPr>
          <w:rFonts w:cstheme="minorHAnsi"/>
          <w:sz w:val="24"/>
          <w:szCs w:val="24"/>
          <w:lang w:val="en-GB"/>
        </w:rPr>
        <w:t xml:space="preserve"> children </w:t>
      </w:r>
      <w:r w:rsidR="00CD4E9D" w:rsidRPr="00CE66BE">
        <w:rPr>
          <w:rFonts w:cstheme="minorHAnsi"/>
          <w:sz w:val="24"/>
          <w:szCs w:val="24"/>
          <w:lang w:val="en-GB"/>
        </w:rPr>
        <w:t xml:space="preserve">born </w:t>
      </w:r>
      <w:r w:rsidRPr="00CE66BE">
        <w:rPr>
          <w:rFonts w:cstheme="minorHAnsi"/>
          <w:sz w:val="24"/>
          <w:szCs w:val="24"/>
          <w:lang w:val="en-GB"/>
        </w:rPr>
        <w:t xml:space="preserve">in 1995-2004 with </w:t>
      </w:r>
      <w:r w:rsidR="0040173D" w:rsidRPr="00CE66BE">
        <w:rPr>
          <w:rFonts w:cstheme="minorHAnsi"/>
          <w:sz w:val="24"/>
          <w:szCs w:val="24"/>
          <w:lang w:val="en-GB"/>
        </w:rPr>
        <w:t xml:space="preserve">those </w:t>
      </w:r>
      <w:r w:rsidRPr="00CE66BE">
        <w:rPr>
          <w:rFonts w:cstheme="minorHAnsi"/>
          <w:sz w:val="24"/>
          <w:szCs w:val="24"/>
          <w:lang w:val="en-GB"/>
        </w:rPr>
        <w:t>in 2005-2014</w:t>
      </w:r>
      <w:r w:rsidR="0040173D" w:rsidRPr="00CE66BE">
        <w:rPr>
          <w:rFonts w:cstheme="minorHAnsi"/>
          <w:sz w:val="24"/>
          <w:szCs w:val="24"/>
          <w:lang w:val="en-GB"/>
        </w:rPr>
        <w:t>. As different factors may influence infant and childhood mortality, survival from birth to one year was analysed separately from surviva</w:t>
      </w:r>
      <w:r w:rsidR="00CB5440" w:rsidRPr="00CE66BE">
        <w:rPr>
          <w:rFonts w:cstheme="minorHAnsi"/>
          <w:sz w:val="24"/>
          <w:szCs w:val="24"/>
          <w:lang w:val="en-GB"/>
        </w:rPr>
        <w:t>l from one year up to 10 years</w:t>
      </w:r>
      <w:r w:rsidR="00B3062E" w:rsidRPr="00CE66BE">
        <w:rPr>
          <w:rFonts w:cstheme="minorHAnsi"/>
          <w:sz w:val="24"/>
          <w:szCs w:val="24"/>
          <w:lang w:val="en-GB"/>
        </w:rPr>
        <w:t xml:space="preserve">. Therefore, </w:t>
      </w:r>
      <w:r w:rsidR="0040173D" w:rsidRPr="00CE66BE">
        <w:rPr>
          <w:rFonts w:cstheme="minorHAnsi"/>
          <w:sz w:val="24"/>
          <w:szCs w:val="24"/>
          <w:lang w:val="en-GB"/>
        </w:rPr>
        <w:t xml:space="preserve">two </w:t>
      </w:r>
      <w:r w:rsidRPr="00CE66BE">
        <w:rPr>
          <w:rFonts w:cstheme="minorHAnsi"/>
          <w:sz w:val="24"/>
          <w:szCs w:val="24"/>
          <w:lang w:val="en-GB"/>
        </w:rPr>
        <w:t>Hazard Ratios (HR</w:t>
      </w:r>
      <w:r w:rsidR="00B3062E" w:rsidRPr="00CE66BE">
        <w:rPr>
          <w:rFonts w:cstheme="minorHAnsi"/>
          <w:sz w:val="24"/>
          <w:szCs w:val="24"/>
          <w:lang w:val="en-GB"/>
        </w:rPr>
        <w:t>s</w:t>
      </w:r>
      <w:r w:rsidRPr="00CE66BE">
        <w:rPr>
          <w:rFonts w:cstheme="minorHAnsi"/>
          <w:sz w:val="24"/>
          <w:szCs w:val="24"/>
          <w:lang w:val="en-GB"/>
        </w:rPr>
        <w:t>)</w:t>
      </w:r>
      <w:r w:rsidRPr="00CE66BE">
        <w:rPr>
          <w:rFonts w:cstheme="minorHAnsi"/>
          <w:color w:val="000000"/>
          <w:sz w:val="24"/>
          <w:szCs w:val="24"/>
          <w:lang w:val="en-GB"/>
        </w:rPr>
        <w:t xml:space="preserve"> </w:t>
      </w:r>
      <w:r w:rsidRPr="00CE66BE">
        <w:rPr>
          <w:rFonts w:cstheme="minorHAnsi"/>
          <w:sz w:val="24"/>
          <w:szCs w:val="24"/>
          <w:lang w:val="en-GB"/>
        </w:rPr>
        <w:t>for mortality</w:t>
      </w:r>
      <w:r w:rsidR="0040173D" w:rsidRPr="00CE66BE">
        <w:rPr>
          <w:rFonts w:cstheme="minorHAnsi"/>
          <w:sz w:val="24"/>
          <w:szCs w:val="24"/>
          <w:lang w:val="en-GB"/>
        </w:rPr>
        <w:t xml:space="preserve"> of</w:t>
      </w:r>
      <w:r w:rsidRPr="00CE66BE">
        <w:rPr>
          <w:rFonts w:cstheme="minorHAnsi"/>
          <w:sz w:val="24"/>
          <w:szCs w:val="24"/>
          <w:lang w:val="en-GB"/>
        </w:rPr>
        <w:t xml:space="preserve"> </w:t>
      </w:r>
      <w:r w:rsidR="0040173D" w:rsidRPr="00CE66BE">
        <w:rPr>
          <w:rFonts w:cstheme="minorHAnsi"/>
          <w:sz w:val="24"/>
          <w:szCs w:val="24"/>
          <w:lang w:val="en-GB"/>
        </w:rPr>
        <w:t>children with CA</w:t>
      </w:r>
      <w:r w:rsidR="00851A43" w:rsidRPr="00CE66BE">
        <w:rPr>
          <w:rFonts w:cstheme="minorHAnsi"/>
          <w:sz w:val="24"/>
          <w:szCs w:val="24"/>
          <w:lang w:val="en-GB"/>
        </w:rPr>
        <w:t>s</w:t>
      </w:r>
      <w:r w:rsidR="0040173D" w:rsidRPr="00CE66BE">
        <w:rPr>
          <w:rFonts w:cstheme="minorHAnsi"/>
          <w:sz w:val="24"/>
          <w:szCs w:val="24"/>
          <w:lang w:val="en-GB"/>
        </w:rPr>
        <w:t xml:space="preserve"> born during 2005-2014 compared with </w:t>
      </w:r>
      <w:r w:rsidR="00C12B75" w:rsidRPr="00CE66BE">
        <w:rPr>
          <w:rFonts w:cstheme="minorHAnsi"/>
          <w:sz w:val="24"/>
          <w:szCs w:val="24"/>
          <w:lang w:val="en-GB"/>
        </w:rPr>
        <w:t>those born during 1995-2004</w:t>
      </w:r>
      <w:r w:rsidR="0040173D" w:rsidRPr="00CE66BE">
        <w:rPr>
          <w:rFonts w:cstheme="minorHAnsi"/>
          <w:sz w:val="24"/>
          <w:szCs w:val="24"/>
          <w:lang w:val="en-GB"/>
        </w:rPr>
        <w:t xml:space="preserve"> </w:t>
      </w:r>
      <w:r w:rsidRPr="00CE66BE">
        <w:rPr>
          <w:rFonts w:cstheme="minorHAnsi"/>
          <w:sz w:val="24"/>
          <w:szCs w:val="24"/>
          <w:lang w:val="en-GB"/>
        </w:rPr>
        <w:t xml:space="preserve">at 1 year and 1-9 years of age </w:t>
      </w:r>
      <w:r w:rsidR="0040173D" w:rsidRPr="00CE66BE">
        <w:rPr>
          <w:rFonts w:cstheme="minorHAnsi"/>
          <w:sz w:val="24"/>
          <w:szCs w:val="24"/>
          <w:lang w:val="en-GB"/>
        </w:rPr>
        <w:t>were estimated</w:t>
      </w:r>
      <w:r w:rsidR="006C32C7" w:rsidRPr="00CE66BE">
        <w:rPr>
          <w:rFonts w:cstheme="minorHAnsi"/>
          <w:sz w:val="24"/>
          <w:szCs w:val="24"/>
          <w:lang w:val="en-GB"/>
        </w:rPr>
        <w:t xml:space="preserve"> within each registry</w:t>
      </w:r>
      <w:r w:rsidR="0040173D" w:rsidRPr="00CE66BE">
        <w:rPr>
          <w:rFonts w:cstheme="minorHAnsi"/>
          <w:sz w:val="24"/>
          <w:szCs w:val="24"/>
          <w:lang w:val="en-GB"/>
        </w:rPr>
        <w:t>.</w:t>
      </w:r>
      <w:r w:rsidRPr="00CE66BE">
        <w:rPr>
          <w:rFonts w:cstheme="minorHAnsi"/>
          <w:sz w:val="24"/>
          <w:szCs w:val="24"/>
          <w:lang w:val="en-GB"/>
        </w:rPr>
        <w:t xml:space="preserve"> </w:t>
      </w:r>
      <w:r w:rsidR="006C32C7" w:rsidRPr="00CE66BE">
        <w:rPr>
          <w:rFonts w:cstheme="minorHAnsi"/>
          <w:sz w:val="24"/>
          <w:szCs w:val="24"/>
          <w:lang w:val="en-GB"/>
        </w:rPr>
        <w:t xml:space="preserve">The </w:t>
      </w:r>
      <w:r w:rsidR="00B3062E" w:rsidRPr="00CE66BE">
        <w:rPr>
          <w:rFonts w:cstheme="minorHAnsi"/>
          <w:sz w:val="24"/>
          <w:szCs w:val="24"/>
          <w:lang w:val="en-GB"/>
        </w:rPr>
        <w:t>HRs</w:t>
      </w:r>
      <w:r w:rsidR="006C32C7" w:rsidRPr="00CE66BE">
        <w:rPr>
          <w:rFonts w:cstheme="minorHAnsi"/>
          <w:sz w:val="24"/>
          <w:szCs w:val="24"/>
          <w:lang w:val="en-GB"/>
        </w:rPr>
        <w:t xml:space="preserve"> were combined across registries using a random effects meta-analysis.</w:t>
      </w:r>
    </w:p>
    <w:p w14:paraId="05034404" w14:textId="159CD470" w:rsidR="00E26C00" w:rsidRPr="00CE66BE" w:rsidRDefault="002E2FDD" w:rsidP="00754F3C">
      <w:pPr>
        <w:spacing w:after="0" w:line="480" w:lineRule="auto"/>
        <w:rPr>
          <w:rFonts w:cstheme="minorHAnsi"/>
          <w:sz w:val="24"/>
          <w:szCs w:val="24"/>
          <w:lang w:val="en-GB"/>
        </w:rPr>
      </w:pPr>
      <w:r w:rsidRPr="00CE66BE">
        <w:rPr>
          <w:rFonts w:cstheme="minorHAnsi"/>
          <w:sz w:val="24"/>
          <w:szCs w:val="24"/>
          <w:lang w:val="en-GB"/>
        </w:rPr>
        <w:lastRenderedPageBreak/>
        <w:t>Infant mortality</w:t>
      </w:r>
      <w:r w:rsidR="00CD4E9D" w:rsidRPr="00CE66BE">
        <w:rPr>
          <w:rFonts w:cstheme="minorHAnsi"/>
          <w:sz w:val="24"/>
          <w:szCs w:val="24"/>
          <w:lang w:val="en-GB"/>
        </w:rPr>
        <w:t xml:space="preserve"> (at &lt; 1 year of age) </w:t>
      </w:r>
      <w:r w:rsidRPr="00CE66BE">
        <w:rPr>
          <w:rFonts w:cstheme="minorHAnsi"/>
          <w:sz w:val="24"/>
          <w:szCs w:val="24"/>
          <w:lang w:val="en-GB"/>
        </w:rPr>
        <w:t>in children with CA</w:t>
      </w:r>
      <w:r w:rsidR="00FE521F" w:rsidRPr="00CE66BE">
        <w:rPr>
          <w:rFonts w:cstheme="minorHAnsi"/>
          <w:sz w:val="24"/>
          <w:szCs w:val="24"/>
          <w:lang w:val="en-GB"/>
        </w:rPr>
        <w:t>s</w:t>
      </w:r>
      <w:r w:rsidRPr="00CE66BE">
        <w:rPr>
          <w:rFonts w:cstheme="minorHAnsi"/>
          <w:sz w:val="24"/>
          <w:szCs w:val="24"/>
          <w:lang w:val="en-GB"/>
        </w:rPr>
        <w:t xml:space="preserve"> </w:t>
      </w:r>
      <w:r w:rsidR="00CD4E9D" w:rsidRPr="00CE66BE">
        <w:rPr>
          <w:rFonts w:cstheme="minorHAnsi"/>
          <w:sz w:val="24"/>
          <w:szCs w:val="24"/>
          <w:lang w:val="en-GB"/>
        </w:rPr>
        <w:t xml:space="preserve">was calculated </w:t>
      </w:r>
      <w:r w:rsidRPr="00CE66BE">
        <w:rPr>
          <w:rFonts w:cstheme="minorHAnsi"/>
          <w:sz w:val="24"/>
          <w:szCs w:val="24"/>
          <w:lang w:val="en-GB"/>
        </w:rPr>
        <w:t xml:space="preserve">per 10,000 live births </w:t>
      </w:r>
      <w:r w:rsidR="00AD57B7" w:rsidRPr="00CE66BE">
        <w:rPr>
          <w:rFonts w:cstheme="minorHAnsi"/>
          <w:sz w:val="24"/>
          <w:szCs w:val="24"/>
          <w:lang w:val="en-GB"/>
        </w:rPr>
        <w:t xml:space="preserve">in the whole population </w:t>
      </w:r>
      <w:r w:rsidR="00EB44A0" w:rsidRPr="00CE66BE">
        <w:rPr>
          <w:rFonts w:cstheme="minorHAnsi"/>
          <w:sz w:val="24"/>
          <w:szCs w:val="24"/>
          <w:lang w:val="en-GB"/>
        </w:rPr>
        <w:t xml:space="preserve">births </w:t>
      </w:r>
      <w:r w:rsidR="00AD57B7" w:rsidRPr="00CE66BE">
        <w:rPr>
          <w:rFonts w:cstheme="minorHAnsi"/>
          <w:sz w:val="24"/>
          <w:szCs w:val="24"/>
          <w:lang w:val="en-GB"/>
        </w:rPr>
        <w:t>covered by each registry</w:t>
      </w:r>
      <w:r w:rsidRPr="00CE66BE">
        <w:rPr>
          <w:rFonts w:cstheme="minorHAnsi"/>
          <w:sz w:val="24"/>
          <w:szCs w:val="24"/>
          <w:lang w:val="en-GB"/>
        </w:rPr>
        <w:t>.</w:t>
      </w:r>
      <w:r w:rsidR="002F1AC1" w:rsidRPr="00CE66BE">
        <w:rPr>
          <w:rFonts w:cstheme="minorHAnsi"/>
          <w:sz w:val="24"/>
          <w:szCs w:val="24"/>
          <w:lang w:val="en-GB"/>
        </w:rPr>
        <w:t xml:space="preserve"> </w:t>
      </w:r>
      <w:r w:rsidR="006C32C7" w:rsidRPr="00CE66BE">
        <w:rPr>
          <w:rFonts w:cstheme="minorHAnsi"/>
          <w:sz w:val="24"/>
          <w:szCs w:val="24"/>
          <w:lang w:val="en-GB"/>
        </w:rPr>
        <w:t>D</w:t>
      </w:r>
      <w:r w:rsidR="002D1832" w:rsidRPr="00CE66BE">
        <w:rPr>
          <w:rFonts w:cstheme="minorHAnsi"/>
          <w:sz w:val="24"/>
          <w:szCs w:val="24"/>
          <w:lang w:val="en-GB"/>
        </w:rPr>
        <w:t xml:space="preserve">eaths </w:t>
      </w:r>
      <w:r w:rsidR="00F00038" w:rsidRPr="00CE66BE">
        <w:rPr>
          <w:rFonts w:cstheme="minorHAnsi"/>
          <w:sz w:val="24"/>
          <w:szCs w:val="24"/>
          <w:lang w:val="en-GB"/>
        </w:rPr>
        <w:t xml:space="preserve">occurring during the </w:t>
      </w:r>
      <w:r w:rsidR="004622FC" w:rsidRPr="00CE66BE">
        <w:rPr>
          <w:rFonts w:cstheme="minorHAnsi"/>
          <w:sz w:val="24"/>
          <w:szCs w:val="24"/>
          <w:lang w:val="en-GB"/>
        </w:rPr>
        <w:t xml:space="preserve">first </w:t>
      </w:r>
      <w:r w:rsidR="00A11EF4">
        <w:rPr>
          <w:rFonts w:cstheme="minorHAnsi"/>
          <w:sz w:val="24"/>
          <w:szCs w:val="24"/>
          <w:lang w:val="en-GB"/>
        </w:rPr>
        <w:t xml:space="preserve">7 and </w:t>
      </w:r>
      <w:r w:rsidR="004622FC" w:rsidRPr="00CE66BE">
        <w:rPr>
          <w:rFonts w:cstheme="minorHAnsi"/>
          <w:sz w:val="24"/>
          <w:szCs w:val="24"/>
          <w:lang w:val="en-GB"/>
        </w:rPr>
        <w:t>2</w:t>
      </w:r>
      <w:r w:rsidR="00CD4E9D" w:rsidRPr="00CE66BE">
        <w:rPr>
          <w:rFonts w:cstheme="minorHAnsi"/>
          <w:sz w:val="24"/>
          <w:szCs w:val="24"/>
          <w:lang w:val="en-GB"/>
        </w:rPr>
        <w:t>8</w:t>
      </w:r>
      <w:r w:rsidR="004622FC" w:rsidRPr="00CE66BE">
        <w:rPr>
          <w:rFonts w:cstheme="minorHAnsi"/>
          <w:sz w:val="24"/>
          <w:szCs w:val="24"/>
          <w:lang w:val="en-GB"/>
        </w:rPr>
        <w:t xml:space="preserve"> days</w:t>
      </w:r>
      <w:r w:rsidR="00CD4E9D" w:rsidRPr="00CE66BE">
        <w:rPr>
          <w:rFonts w:cstheme="minorHAnsi"/>
          <w:sz w:val="24"/>
          <w:szCs w:val="24"/>
          <w:lang w:val="en-GB"/>
        </w:rPr>
        <w:t xml:space="preserve"> of life</w:t>
      </w:r>
      <w:r w:rsidR="00F00038" w:rsidRPr="00CE66BE">
        <w:rPr>
          <w:rFonts w:cstheme="minorHAnsi"/>
          <w:sz w:val="24"/>
          <w:szCs w:val="24"/>
          <w:lang w:val="en-GB"/>
        </w:rPr>
        <w:t xml:space="preserve">, </w:t>
      </w:r>
      <w:r w:rsidR="006C32C7" w:rsidRPr="00CE66BE">
        <w:rPr>
          <w:rFonts w:cstheme="minorHAnsi"/>
          <w:sz w:val="24"/>
          <w:szCs w:val="24"/>
          <w:lang w:val="en-GB"/>
        </w:rPr>
        <w:t xml:space="preserve">were reported as a proportion of </w:t>
      </w:r>
      <w:r w:rsidR="00F00038" w:rsidRPr="00CE66BE">
        <w:rPr>
          <w:rFonts w:cstheme="minorHAnsi"/>
          <w:sz w:val="24"/>
          <w:szCs w:val="24"/>
          <w:lang w:val="en-GB"/>
        </w:rPr>
        <w:t>the number of deaths occurring during the first year for each registry.</w:t>
      </w:r>
      <w:r w:rsidR="00E44D39" w:rsidRPr="00CE66BE">
        <w:rPr>
          <w:rFonts w:cstheme="minorHAnsi"/>
          <w:sz w:val="24"/>
          <w:szCs w:val="24"/>
          <w:lang w:val="en-GB"/>
        </w:rPr>
        <w:t xml:space="preserve"> </w:t>
      </w:r>
    </w:p>
    <w:p w14:paraId="0778E10D" w14:textId="43D20069" w:rsidR="0088257F" w:rsidRPr="00CE66BE" w:rsidRDefault="002F1AC1" w:rsidP="00754F3C">
      <w:pPr>
        <w:spacing w:after="0" w:line="480" w:lineRule="auto"/>
        <w:rPr>
          <w:rFonts w:cstheme="minorHAnsi"/>
          <w:sz w:val="24"/>
          <w:szCs w:val="24"/>
          <w:lang w:val="en-GB"/>
        </w:rPr>
      </w:pPr>
      <w:r w:rsidRPr="00CE66BE">
        <w:rPr>
          <w:rFonts w:cstheme="minorHAnsi"/>
          <w:sz w:val="24"/>
          <w:szCs w:val="24"/>
          <w:lang w:val="en-GB"/>
        </w:rPr>
        <w:t xml:space="preserve">Finally, </w:t>
      </w:r>
      <w:r w:rsidR="00457BCB" w:rsidRPr="00CE66BE">
        <w:rPr>
          <w:rFonts w:cstheme="minorHAnsi"/>
          <w:sz w:val="24"/>
          <w:szCs w:val="24"/>
          <w:lang w:val="en-GB"/>
        </w:rPr>
        <w:t>5</w:t>
      </w:r>
      <w:r w:rsidR="00D55C03" w:rsidRPr="00CE66BE">
        <w:rPr>
          <w:rFonts w:cstheme="minorHAnsi"/>
          <w:sz w:val="24"/>
          <w:szCs w:val="24"/>
          <w:lang w:val="en-GB"/>
        </w:rPr>
        <w:t xml:space="preserve">-year survival estimates conditional on having survived at 28 days with 95% CI were calculated </w:t>
      </w:r>
      <w:r w:rsidR="006C32C7" w:rsidRPr="00CE66BE">
        <w:rPr>
          <w:rFonts w:cstheme="minorHAnsi"/>
          <w:sz w:val="24"/>
          <w:szCs w:val="24"/>
          <w:lang w:val="en-GB"/>
        </w:rPr>
        <w:t xml:space="preserve">for each </w:t>
      </w:r>
      <w:r w:rsidR="00D55C03" w:rsidRPr="00CE66BE">
        <w:rPr>
          <w:rFonts w:cstheme="minorHAnsi"/>
          <w:sz w:val="24"/>
          <w:szCs w:val="24"/>
          <w:lang w:val="en-GB"/>
        </w:rPr>
        <w:t>registry.</w:t>
      </w:r>
    </w:p>
    <w:p w14:paraId="4DE4CF32" w14:textId="02ACDBD4" w:rsidR="006F2D9D" w:rsidRDefault="006F2D9D" w:rsidP="00754F3C">
      <w:pPr>
        <w:spacing w:after="0" w:line="480" w:lineRule="auto"/>
        <w:rPr>
          <w:rFonts w:cstheme="minorHAnsi"/>
          <w:b/>
          <w:sz w:val="24"/>
          <w:szCs w:val="24"/>
          <w:lang w:val="en-GB"/>
        </w:rPr>
      </w:pPr>
    </w:p>
    <w:p w14:paraId="1EF4A978" w14:textId="77777777" w:rsidR="006F2D9D" w:rsidRDefault="006F2D9D" w:rsidP="006F2D9D">
      <w:pPr>
        <w:spacing w:after="0" w:line="480" w:lineRule="auto"/>
        <w:rPr>
          <w:rFonts w:cstheme="minorHAnsi"/>
          <w:b/>
          <w:sz w:val="24"/>
          <w:szCs w:val="24"/>
          <w:lang w:val="en-GB"/>
        </w:rPr>
      </w:pPr>
      <w:r w:rsidRPr="0082776A">
        <w:rPr>
          <w:rFonts w:cstheme="minorHAnsi"/>
          <w:b/>
          <w:sz w:val="24"/>
          <w:szCs w:val="24"/>
          <w:lang w:val="en-GB"/>
        </w:rPr>
        <w:t xml:space="preserve">Missing data </w:t>
      </w:r>
    </w:p>
    <w:p w14:paraId="2B161A11" w14:textId="6BF3A0DF" w:rsidR="006F2D9D" w:rsidRPr="0082776A" w:rsidRDefault="006F2D9D" w:rsidP="006F2D9D">
      <w:pPr>
        <w:spacing w:after="0" w:line="480" w:lineRule="auto"/>
        <w:rPr>
          <w:rFonts w:cstheme="minorHAnsi"/>
          <w:sz w:val="24"/>
          <w:szCs w:val="24"/>
          <w:lang w:val="en-GB"/>
        </w:rPr>
      </w:pPr>
      <w:r>
        <w:rPr>
          <w:rFonts w:cstheme="minorHAnsi"/>
          <w:sz w:val="24"/>
          <w:szCs w:val="24"/>
          <w:lang w:val="en-GB"/>
        </w:rPr>
        <w:t>Missing data in this study arose solely due to linkage not occurring. Eleven congenital anomaly registries linked to vital statistics databases and six of these had over 96% linkage success. For the remaining five registries all births in years in which the linkage success was lower than 85% were excluded.  The registries</w:t>
      </w:r>
      <w:r w:rsidR="00A11EF4">
        <w:rPr>
          <w:rFonts w:cstheme="minorHAnsi"/>
          <w:sz w:val="24"/>
          <w:szCs w:val="24"/>
          <w:lang w:val="en-GB"/>
        </w:rPr>
        <w:t xml:space="preserve"> who </w:t>
      </w:r>
      <w:r w:rsidR="00A11EF4" w:rsidRPr="00CE66BE">
        <w:rPr>
          <w:rFonts w:cstheme="minorHAnsi"/>
          <w:sz w:val="24"/>
          <w:szCs w:val="24"/>
          <w:lang w:val="en-GB"/>
        </w:rPr>
        <w:t>linked their data only to mortality databases</w:t>
      </w:r>
      <w:r>
        <w:rPr>
          <w:rFonts w:cstheme="minorHAnsi"/>
          <w:sz w:val="24"/>
          <w:szCs w:val="24"/>
          <w:lang w:val="en-GB"/>
        </w:rPr>
        <w:t xml:space="preserve"> were assumed to have linkage success above 85%. </w:t>
      </w:r>
      <w:r w:rsidR="00A11EF4">
        <w:rPr>
          <w:rFonts w:cstheme="minorHAnsi"/>
          <w:sz w:val="24"/>
          <w:szCs w:val="24"/>
          <w:lang w:val="en-GB"/>
        </w:rPr>
        <w:t xml:space="preserve">The Registry of Zagreb (Croatia) </w:t>
      </w:r>
      <w:r w:rsidR="00A11EF4" w:rsidRPr="00CE66BE">
        <w:rPr>
          <w:rFonts w:cstheme="minorHAnsi"/>
          <w:sz w:val="24"/>
          <w:szCs w:val="24"/>
          <w:lang w:val="en-GB"/>
        </w:rPr>
        <w:t xml:space="preserve">was unable to obtain identifiers for more than 20% of the children to link to the local death records, and therefore was </w:t>
      </w:r>
      <w:r w:rsidR="00A11EF4">
        <w:rPr>
          <w:rFonts w:cstheme="minorHAnsi"/>
          <w:sz w:val="24"/>
          <w:szCs w:val="24"/>
          <w:lang w:val="en-GB"/>
        </w:rPr>
        <w:t>excluded from</w:t>
      </w:r>
      <w:r w:rsidR="00A11EF4" w:rsidRPr="00CE66BE">
        <w:rPr>
          <w:rFonts w:cstheme="minorHAnsi"/>
          <w:sz w:val="24"/>
          <w:szCs w:val="24"/>
          <w:lang w:val="en-GB"/>
        </w:rPr>
        <w:t xml:space="preserve"> this study</w:t>
      </w:r>
      <w:r w:rsidR="00A11EF4">
        <w:rPr>
          <w:rFonts w:cstheme="minorHAnsi"/>
          <w:sz w:val="24"/>
          <w:szCs w:val="24"/>
          <w:lang w:val="en-GB"/>
        </w:rPr>
        <w:t xml:space="preserve">. </w:t>
      </w:r>
      <w:r>
        <w:rPr>
          <w:rFonts w:cstheme="minorHAnsi"/>
          <w:sz w:val="24"/>
          <w:szCs w:val="24"/>
          <w:lang w:val="en-GB"/>
        </w:rPr>
        <w:t xml:space="preserve">A detailed description of the quality of linkage has published </w:t>
      </w:r>
      <w:r w:rsidRPr="00CE66BE">
        <w:rPr>
          <w:rFonts w:cstheme="minorHAnsi"/>
          <w:sz w:val="24"/>
          <w:szCs w:val="24"/>
          <w:lang w:val="en-GB"/>
        </w:rPr>
        <w:t>elsewhere</w:t>
      </w:r>
      <w:r>
        <w:rPr>
          <w:rFonts w:cstheme="minorHAnsi"/>
          <w:sz w:val="24"/>
          <w:szCs w:val="24"/>
          <w:lang w:val="en-GB"/>
        </w:rPr>
        <w:t>.</w:t>
      </w:r>
      <w:r w:rsidR="001338C6">
        <w:rPr>
          <w:rFonts w:cstheme="minorHAnsi"/>
          <w:sz w:val="24"/>
          <w:szCs w:val="24"/>
          <w:vertAlign w:val="superscript"/>
          <w:lang w:val="en-GB"/>
        </w:rPr>
        <w:t>25</w:t>
      </w:r>
      <w:r>
        <w:rPr>
          <w:rFonts w:cstheme="minorHAnsi"/>
          <w:sz w:val="24"/>
          <w:szCs w:val="24"/>
          <w:lang w:val="en-GB"/>
        </w:rPr>
        <w:t xml:space="preserve"> </w:t>
      </w:r>
      <w:proofErr w:type="gramStart"/>
      <w:r>
        <w:rPr>
          <w:rFonts w:cstheme="minorHAnsi"/>
          <w:sz w:val="24"/>
          <w:szCs w:val="24"/>
          <w:lang w:val="en-GB"/>
        </w:rPr>
        <w:t>Multiple</w:t>
      </w:r>
      <w:proofErr w:type="gramEnd"/>
      <w:r>
        <w:rPr>
          <w:rFonts w:cstheme="minorHAnsi"/>
          <w:sz w:val="24"/>
          <w:szCs w:val="24"/>
          <w:lang w:val="en-GB"/>
        </w:rPr>
        <w:t xml:space="preserve"> imputation was not performed on any of the survival analysis as a failed linkage resulted in no covariates being available to use in the imputations.</w:t>
      </w:r>
    </w:p>
    <w:p w14:paraId="6BD568C3" w14:textId="77777777" w:rsidR="00A11EF4" w:rsidRDefault="00A11EF4" w:rsidP="00754F3C">
      <w:pPr>
        <w:spacing w:after="0" w:line="480" w:lineRule="auto"/>
        <w:rPr>
          <w:rFonts w:cstheme="minorHAnsi"/>
          <w:b/>
          <w:sz w:val="24"/>
          <w:szCs w:val="24"/>
          <w:lang w:val="en-GB"/>
        </w:rPr>
      </w:pPr>
    </w:p>
    <w:p w14:paraId="01679C60" w14:textId="0EDDBE2C" w:rsidR="00771BAE" w:rsidRPr="00A65E1A" w:rsidRDefault="00771BAE" w:rsidP="00754F3C">
      <w:pPr>
        <w:spacing w:after="0" w:line="480" w:lineRule="auto"/>
        <w:rPr>
          <w:rFonts w:cstheme="minorHAnsi"/>
          <w:b/>
          <w:sz w:val="24"/>
          <w:szCs w:val="24"/>
          <w:lang w:val="en-GB"/>
        </w:rPr>
      </w:pPr>
      <w:r w:rsidRPr="00A65E1A">
        <w:rPr>
          <w:rFonts w:cstheme="minorHAnsi"/>
          <w:b/>
          <w:sz w:val="24"/>
          <w:szCs w:val="24"/>
          <w:lang w:val="en-GB"/>
        </w:rPr>
        <w:t>Ethics approval</w:t>
      </w:r>
    </w:p>
    <w:p w14:paraId="7EE6C725" w14:textId="77777777" w:rsidR="00771BAE" w:rsidRDefault="00771BAE" w:rsidP="00754F3C">
      <w:pPr>
        <w:spacing w:after="0" w:line="480" w:lineRule="auto"/>
        <w:rPr>
          <w:rFonts w:cstheme="minorHAnsi"/>
          <w:sz w:val="24"/>
          <w:szCs w:val="24"/>
          <w:lang w:val="en-GB"/>
        </w:rPr>
      </w:pPr>
      <w:r w:rsidRPr="00A65E1A">
        <w:rPr>
          <w:rFonts w:cstheme="minorHAnsi"/>
          <w:sz w:val="24"/>
          <w:szCs w:val="24"/>
          <w:lang w:val="en-GB"/>
        </w:rPr>
        <w:t xml:space="preserve">The EUROCAT registries all have ethical and governance clearances and other permissions required according to their national guidelines for routine surveillance, data collection and transmission of anonymised data to a central database. Additional permissions to link their </w:t>
      </w:r>
      <w:r w:rsidRPr="00A65E1A">
        <w:rPr>
          <w:rFonts w:cstheme="minorHAnsi"/>
          <w:sz w:val="24"/>
          <w:szCs w:val="24"/>
          <w:lang w:val="en-GB"/>
        </w:rPr>
        <w:lastRenderedPageBreak/>
        <w:t>data to mortality or vital statistics and to transmit anonymous aggregate data and analytic results to a Central Results Repository (CRR) were obtained by each registry.</w:t>
      </w:r>
    </w:p>
    <w:p w14:paraId="4871BC08" w14:textId="77777777" w:rsidR="00771BAE" w:rsidRPr="00CE66BE" w:rsidRDefault="00771BAE" w:rsidP="00754F3C">
      <w:pPr>
        <w:spacing w:after="0" w:line="480" w:lineRule="auto"/>
        <w:rPr>
          <w:rFonts w:cstheme="minorHAnsi"/>
          <w:b/>
          <w:sz w:val="24"/>
          <w:szCs w:val="24"/>
          <w:lang w:val="en-GB"/>
        </w:rPr>
      </w:pPr>
    </w:p>
    <w:p w14:paraId="63A41692" w14:textId="77777777" w:rsidR="00553A0A" w:rsidRPr="00CE66BE" w:rsidRDefault="00553A0A" w:rsidP="00754F3C">
      <w:pPr>
        <w:spacing w:after="0" w:line="480" w:lineRule="auto"/>
        <w:rPr>
          <w:rFonts w:cstheme="minorHAnsi"/>
          <w:b/>
          <w:sz w:val="24"/>
          <w:szCs w:val="24"/>
          <w:lang w:val="en-GB"/>
        </w:rPr>
      </w:pPr>
    </w:p>
    <w:p w14:paraId="3BD0BFEE" w14:textId="7B43A2B8" w:rsidR="0038434B" w:rsidRPr="00CE66BE" w:rsidRDefault="00A23582" w:rsidP="00754F3C">
      <w:pPr>
        <w:spacing w:after="0" w:line="480" w:lineRule="auto"/>
        <w:rPr>
          <w:rFonts w:cstheme="minorHAnsi"/>
          <w:b/>
          <w:sz w:val="24"/>
          <w:szCs w:val="24"/>
          <w:lang w:val="en-GB"/>
        </w:rPr>
      </w:pPr>
      <w:r w:rsidRPr="00CE66BE">
        <w:rPr>
          <w:rFonts w:cstheme="minorHAnsi"/>
          <w:b/>
          <w:sz w:val="24"/>
          <w:szCs w:val="24"/>
          <w:lang w:val="en-GB"/>
        </w:rPr>
        <w:t>RESULTS</w:t>
      </w:r>
    </w:p>
    <w:p w14:paraId="3D868F79" w14:textId="16020728" w:rsidR="000A788F" w:rsidRPr="00CE66BE" w:rsidRDefault="00EA0BFC" w:rsidP="00754F3C">
      <w:pPr>
        <w:spacing w:after="0" w:line="480" w:lineRule="auto"/>
        <w:rPr>
          <w:rFonts w:cstheme="minorHAnsi"/>
          <w:sz w:val="24"/>
          <w:szCs w:val="24"/>
          <w:lang w:val="en-GB"/>
        </w:rPr>
      </w:pPr>
      <w:r w:rsidRPr="00CE66BE">
        <w:rPr>
          <w:rFonts w:cstheme="minorHAnsi"/>
          <w:sz w:val="24"/>
          <w:szCs w:val="24"/>
          <w:lang w:val="en-GB"/>
        </w:rPr>
        <w:t xml:space="preserve">A total of 17 </w:t>
      </w:r>
      <w:r w:rsidR="00E551E2" w:rsidRPr="00CE66BE">
        <w:rPr>
          <w:rFonts w:cstheme="minorHAnsi"/>
          <w:sz w:val="24"/>
          <w:szCs w:val="24"/>
          <w:lang w:val="en-GB"/>
        </w:rPr>
        <w:t xml:space="preserve">EUROCAT </w:t>
      </w:r>
      <w:r w:rsidRPr="00CE66BE">
        <w:rPr>
          <w:rFonts w:cstheme="minorHAnsi"/>
          <w:sz w:val="24"/>
          <w:szCs w:val="24"/>
          <w:lang w:val="en-GB"/>
        </w:rPr>
        <w:t xml:space="preserve">registries </w:t>
      </w:r>
      <w:r w:rsidR="00DA422C" w:rsidRPr="00CE66BE">
        <w:rPr>
          <w:rFonts w:cstheme="minorHAnsi"/>
          <w:sz w:val="24"/>
          <w:szCs w:val="24"/>
          <w:lang w:val="en-GB"/>
        </w:rPr>
        <w:t>from</w:t>
      </w:r>
      <w:r w:rsidRPr="00CE66BE">
        <w:rPr>
          <w:rFonts w:cstheme="minorHAnsi"/>
          <w:sz w:val="24"/>
          <w:szCs w:val="24"/>
          <w:lang w:val="en-GB"/>
        </w:rPr>
        <w:t xml:space="preserve"> 1</w:t>
      </w:r>
      <w:r w:rsidR="000758DA" w:rsidRPr="00CE66BE">
        <w:rPr>
          <w:rFonts w:cstheme="minorHAnsi"/>
          <w:sz w:val="24"/>
          <w:szCs w:val="24"/>
          <w:lang w:val="en-GB"/>
        </w:rPr>
        <w:t>2</w:t>
      </w:r>
      <w:r w:rsidRPr="00CE66BE">
        <w:rPr>
          <w:rFonts w:cstheme="minorHAnsi"/>
          <w:sz w:val="24"/>
          <w:szCs w:val="24"/>
          <w:lang w:val="en-GB"/>
        </w:rPr>
        <w:t xml:space="preserve"> European </w:t>
      </w:r>
      <w:r w:rsidR="001749C8" w:rsidRPr="00CE66BE">
        <w:rPr>
          <w:rFonts w:cstheme="minorHAnsi"/>
          <w:sz w:val="24"/>
          <w:szCs w:val="24"/>
          <w:lang w:val="en-GB"/>
        </w:rPr>
        <w:t xml:space="preserve">countries </w:t>
      </w:r>
      <w:r w:rsidRPr="00CE66BE">
        <w:rPr>
          <w:rFonts w:cstheme="minorHAnsi"/>
          <w:sz w:val="24"/>
          <w:szCs w:val="24"/>
          <w:lang w:val="en-GB"/>
        </w:rPr>
        <w:t xml:space="preserve">were included in the study </w:t>
      </w:r>
      <w:r w:rsidR="001749C8" w:rsidRPr="00CE66BE">
        <w:rPr>
          <w:rFonts w:cstheme="minorHAnsi"/>
          <w:sz w:val="24"/>
          <w:szCs w:val="24"/>
          <w:lang w:val="en-GB"/>
        </w:rPr>
        <w:t xml:space="preserve">and provided </w:t>
      </w:r>
      <w:r w:rsidR="00DA422C" w:rsidRPr="00CE66BE">
        <w:rPr>
          <w:rFonts w:cstheme="minorHAnsi"/>
          <w:sz w:val="24"/>
          <w:szCs w:val="24"/>
          <w:lang w:val="en-GB"/>
        </w:rPr>
        <w:t>survival data for a total of 115,2</w:t>
      </w:r>
      <w:r w:rsidR="005230F0" w:rsidRPr="00CE66BE">
        <w:rPr>
          <w:rFonts w:cstheme="minorHAnsi"/>
          <w:sz w:val="24"/>
          <w:szCs w:val="24"/>
          <w:lang w:val="en-GB"/>
        </w:rPr>
        <w:t>19</w:t>
      </w:r>
      <w:r w:rsidR="00E44D39" w:rsidRPr="00CE66BE">
        <w:rPr>
          <w:rFonts w:cstheme="minorHAnsi"/>
          <w:sz w:val="24"/>
          <w:szCs w:val="24"/>
          <w:lang w:val="en-GB"/>
        </w:rPr>
        <w:t xml:space="preserve"> </w:t>
      </w:r>
      <w:r w:rsidR="001F20D3" w:rsidRPr="00CE66BE">
        <w:rPr>
          <w:rFonts w:cstheme="minorHAnsi"/>
          <w:sz w:val="24"/>
          <w:szCs w:val="24"/>
          <w:lang w:val="en-GB"/>
        </w:rPr>
        <w:t>children born</w:t>
      </w:r>
      <w:r w:rsidR="00E44D39" w:rsidRPr="00CE66BE">
        <w:rPr>
          <w:rFonts w:cstheme="minorHAnsi"/>
          <w:sz w:val="24"/>
          <w:szCs w:val="24"/>
          <w:lang w:val="en-GB"/>
        </w:rPr>
        <w:t xml:space="preserve"> </w:t>
      </w:r>
      <w:r w:rsidR="00DA422C" w:rsidRPr="00CE66BE">
        <w:rPr>
          <w:rFonts w:cstheme="minorHAnsi"/>
          <w:sz w:val="24"/>
          <w:szCs w:val="24"/>
          <w:lang w:val="en-GB"/>
        </w:rPr>
        <w:t xml:space="preserve">with </w:t>
      </w:r>
      <w:r w:rsidR="006C32C7" w:rsidRPr="00CE66BE">
        <w:rPr>
          <w:rFonts w:cstheme="minorHAnsi"/>
          <w:sz w:val="24"/>
          <w:szCs w:val="24"/>
          <w:lang w:val="en-GB"/>
        </w:rPr>
        <w:t xml:space="preserve">a </w:t>
      </w:r>
      <w:r w:rsidR="00DA422C" w:rsidRPr="00CE66BE">
        <w:rPr>
          <w:rFonts w:cstheme="minorHAnsi"/>
          <w:sz w:val="24"/>
          <w:szCs w:val="24"/>
          <w:lang w:val="en-GB"/>
        </w:rPr>
        <w:t>major CA</w:t>
      </w:r>
      <w:r w:rsidR="008F4919" w:rsidRPr="00CE66BE">
        <w:rPr>
          <w:rFonts w:cstheme="minorHAnsi"/>
          <w:sz w:val="24"/>
          <w:szCs w:val="24"/>
          <w:lang w:val="en-GB"/>
        </w:rPr>
        <w:t xml:space="preserve"> (Tab</w:t>
      </w:r>
      <w:r w:rsidR="00506AC1" w:rsidRPr="00CE66BE">
        <w:rPr>
          <w:rFonts w:cstheme="minorHAnsi"/>
          <w:sz w:val="24"/>
          <w:szCs w:val="24"/>
          <w:lang w:val="en-GB"/>
        </w:rPr>
        <w:t>le</w:t>
      </w:r>
      <w:r w:rsidR="008F4919" w:rsidRPr="00CE66BE">
        <w:rPr>
          <w:rFonts w:cstheme="minorHAnsi"/>
          <w:sz w:val="24"/>
          <w:szCs w:val="24"/>
          <w:lang w:val="en-GB"/>
        </w:rPr>
        <w:t xml:space="preserve"> 1).</w:t>
      </w:r>
      <w:r w:rsidR="0038434B" w:rsidRPr="00CE66BE">
        <w:rPr>
          <w:rFonts w:cstheme="minorHAnsi"/>
          <w:sz w:val="24"/>
          <w:szCs w:val="24"/>
          <w:lang w:val="en-GB"/>
        </w:rPr>
        <w:t xml:space="preserve"> </w:t>
      </w:r>
      <w:r w:rsidRPr="00CE66BE">
        <w:rPr>
          <w:rFonts w:cstheme="minorHAnsi"/>
          <w:sz w:val="24"/>
          <w:szCs w:val="24"/>
          <w:lang w:val="en-GB"/>
        </w:rPr>
        <w:t xml:space="preserve">The </w:t>
      </w:r>
      <w:r w:rsidR="000E2C6D" w:rsidRPr="00CE66BE">
        <w:rPr>
          <w:rFonts w:cstheme="minorHAnsi"/>
          <w:sz w:val="24"/>
          <w:szCs w:val="24"/>
          <w:lang w:val="en-GB"/>
        </w:rPr>
        <w:t>live birth</w:t>
      </w:r>
      <w:r w:rsidRPr="00CE66BE">
        <w:rPr>
          <w:rFonts w:cstheme="minorHAnsi"/>
          <w:sz w:val="24"/>
          <w:szCs w:val="24"/>
          <w:lang w:val="en-GB"/>
        </w:rPr>
        <w:t xml:space="preserve"> prevalence </w:t>
      </w:r>
      <w:r w:rsidR="00C6288F" w:rsidRPr="00CE66BE">
        <w:rPr>
          <w:rFonts w:cstheme="minorHAnsi"/>
          <w:sz w:val="24"/>
          <w:szCs w:val="24"/>
          <w:lang w:val="en-GB"/>
        </w:rPr>
        <w:t>of ‘</w:t>
      </w:r>
      <w:r w:rsidR="00BE4B72" w:rsidRPr="00CE66BE">
        <w:rPr>
          <w:rFonts w:cstheme="minorHAnsi"/>
          <w:sz w:val="24"/>
          <w:szCs w:val="24"/>
          <w:lang w:val="en-GB"/>
        </w:rPr>
        <w:t>A</w:t>
      </w:r>
      <w:r w:rsidR="00E551E2" w:rsidRPr="00CE66BE">
        <w:rPr>
          <w:rFonts w:cstheme="minorHAnsi"/>
          <w:sz w:val="24"/>
          <w:szCs w:val="24"/>
          <w:lang w:val="en-GB"/>
        </w:rPr>
        <w:t>ll anomalies</w:t>
      </w:r>
      <w:r w:rsidR="00C6288F" w:rsidRPr="00CE66BE">
        <w:rPr>
          <w:rFonts w:cstheme="minorHAnsi"/>
          <w:sz w:val="24"/>
          <w:szCs w:val="24"/>
          <w:lang w:val="en-GB"/>
        </w:rPr>
        <w:t xml:space="preserve">’ </w:t>
      </w:r>
      <w:r w:rsidRPr="00CE66BE">
        <w:rPr>
          <w:rFonts w:cstheme="minorHAnsi"/>
          <w:sz w:val="24"/>
          <w:szCs w:val="24"/>
          <w:lang w:val="en-GB"/>
        </w:rPr>
        <w:t>per 10,000 births ranged from 14</w:t>
      </w:r>
      <w:r w:rsidR="00D54340" w:rsidRPr="00CE66BE">
        <w:rPr>
          <w:rFonts w:cstheme="minorHAnsi"/>
          <w:sz w:val="24"/>
          <w:szCs w:val="24"/>
          <w:lang w:val="en-GB"/>
        </w:rPr>
        <w:t>6</w:t>
      </w:r>
      <w:r w:rsidRPr="00CE66BE">
        <w:rPr>
          <w:rFonts w:cstheme="minorHAnsi"/>
          <w:sz w:val="24"/>
          <w:szCs w:val="24"/>
          <w:lang w:val="en-GB"/>
        </w:rPr>
        <w:t xml:space="preserve">.3 </w:t>
      </w:r>
      <w:r w:rsidR="008603C0" w:rsidRPr="00CE66BE">
        <w:rPr>
          <w:rFonts w:cstheme="minorHAnsi"/>
          <w:sz w:val="24"/>
          <w:szCs w:val="24"/>
          <w:lang w:val="en-GB"/>
        </w:rPr>
        <w:t>for the</w:t>
      </w:r>
      <w:r w:rsidRPr="00CE66BE">
        <w:rPr>
          <w:rFonts w:cstheme="minorHAnsi"/>
          <w:sz w:val="24"/>
          <w:szCs w:val="24"/>
          <w:lang w:val="en-GB"/>
        </w:rPr>
        <w:t xml:space="preserve"> Thames Valley</w:t>
      </w:r>
      <w:r w:rsidR="000758DA" w:rsidRPr="00CE66BE">
        <w:rPr>
          <w:rFonts w:cstheme="minorHAnsi"/>
          <w:sz w:val="24"/>
          <w:szCs w:val="24"/>
          <w:lang w:val="en-GB"/>
        </w:rPr>
        <w:t xml:space="preserve"> </w:t>
      </w:r>
      <w:r w:rsidR="0066265A" w:rsidRPr="00CE66BE">
        <w:rPr>
          <w:rFonts w:cstheme="minorHAnsi"/>
          <w:sz w:val="24"/>
          <w:szCs w:val="24"/>
          <w:lang w:val="en-GB"/>
        </w:rPr>
        <w:t xml:space="preserve">registry </w:t>
      </w:r>
      <w:r w:rsidR="00506AC1" w:rsidRPr="00CE66BE">
        <w:rPr>
          <w:rFonts w:cstheme="minorHAnsi"/>
          <w:sz w:val="24"/>
          <w:szCs w:val="24"/>
          <w:lang w:val="en-GB"/>
        </w:rPr>
        <w:t xml:space="preserve">(UK) </w:t>
      </w:r>
      <w:r w:rsidRPr="00CE66BE">
        <w:rPr>
          <w:rFonts w:cstheme="minorHAnsi"/>
          <w:sz w:val="24"/>
          <w:szCs w:val="24"/>
          <w:lang w:val="en-GB"/>
        </w:rPr>
        <w:t xml:space="preserve">to 454.7 </w:t>
      </w:r>
      <w:r w:rsidR="008603C0" w:rsidRPr="00CE66BE">
        <w:rPr>
          <w:rFonts w:cstheme="minorHAnsi"/>
          <w:sz w:val="24"/>
          <w:szCs w:val="24"/>
          <w:lang w:val="en-GB"/>
        </w:rPr>
        <w:t>for the</w:t>
      </w:r>
      <w:r w:rsidRPr="00CE66BE">
        <w:rPr>
          <w:rFonts w:cstheme="minorHAnsi"/>
          <w:sz w:val="24"/>
          <w:szCs w:val="24"/>
          <w:lang w:val="en-GB"/>
        </w:rPr>
        <w:t xml:space="preserve"> </w:t>
      </w:r>
      <w:r w:rsidR="00FC090F" w:rsidRPr="00CE66BE">
        <w:rPr>
          <w:rFonts w:cstheme="minorHAnsi"/>
          <w:sz w:val="24"/>
          <w:szCs w:val="24"/>
          <w:lang w:val="en-GB"/>
        </w:rPr>
        <w:t>Finnish</w:t>
      </w:r>
      <w:r w:rsidR="000758DA" w:rsidRPr="00CE66BE">
        <w:rPr>
          <w:rFonts w:cstheme="minorHAnsi"/>
          <w:sz w:val="24"/>
          <w:szCs w:val="24"/>
          <w:lang w:val="en-GB"/>
        </w:rPr>
        <w:t xml:space="preserve"> registry</w:t>
      </w:r>
      <w:r w:rsidRPr="00CE66BE">
        <w:rPr>
          <w:rFonts w:cstheme="minorHAnsi"/>
          <w:sz w:val="24"/>
          <w:szCs w:val="24"/>
          <w:lang w:val="en-GB"/>
        </w:rPr>
        <w:t>.</w:t>
      </w:r>
      <w:r w:rsidR="00DE2799" w:rsidRPr="00CE66BE">
        <w:rPr>
          <w:rFonts w:cstheme="minorHAnsi"/>
          <w:sz w:val="24"/>
          <w:szCs w:val="24"/>
          <w:lang w:val="en-GB"/>
        </w:rPr>
        <w:t xml:space="preserve"> </w:t>
      </w:r>
    </w:p>
    <w:p w14:paraId="329C7199" w14:textId="77777777" w:rsidR="008737FB" w:rsidRPr="00CE66BE" w:rsidRDefault="008737FB" w:rsidP="00754F3C">
      <w:pPr>
        <w:spacing w:after="0" w:line="480" w:lineRule="auto"/>
        <w:rPr>
          <w:rFonts w:cstheme="minorHAnsi"/>
          <w:sz w:val="24"/>
          <w:szCs w:val="24"/>
          <w:lang w:val="en-GB"/>
        </w:rPr>
      </w:pPr>
    </w:p>
    <w:p w14:paraId="74748ED2" w14:textId="42352726" w:rsidR="00A23582" w:rsidRPr="00CE66BE" w:rsidRDefault="00D54340" w:rsidP="00754F3C">
      <w:pPr>
        <w:spacing w:after="0" w:line="480" w:lineRule="auto"/>
        <w:rPr>
          <w:rFonts w:cstheme="minorHAnsi"/>
          <w:b/>
          <w:sz w:val="24"/>
          <w:szCs w:val="24"/>
          <w:lang w:val="en-GB"/>
        </w:rPr>
      </w:pPr>
      <w:r w:rsidRPr="00CE66BE">
        <w:rPr>
          <w:rFonts w:cstheme="minorHAnsi"/>
          <w:b/>
          <w:sz w:val="24"/>
          <w:szCs w:val="24"/>
          <w:lang w:val="en-GB"/>
        </w:rPr>
        <w:t>Temporal variation</w:t>
      </w:r>
    </w:p>
    <w:p w14:paraId="3454436B" w14:textId="00965BC0" w:rsidR="00FC28A7" w:rsidRPr="00CE66BE" w:rsidRDefault="00335FDD" w:rsidP="00754F3C">
      <w:pPr>
        <w:spacing w:after="0" w:line="480" w:lineRule="auto"/>
        <w:rPr>
          <w:rFonts w:cstheme="minorHAnsi"/>
          <w:sz w:val="24"/>
          <w:szCs w:val="24"/>
          <w:lang w:val="en-GB"/>
        </w:rPr>
      </w:pPr>
      <w:r w:rsidRPr="00CE66BE">
        <w:rPr>
          <w:rFonts w:cstheme="minorHAnsi"/>
          <w:sz w:val="24"/>
          <w:szCs w:val="24"/>
          <w:lang w:val="en-GB"/>
        </w:rPr>
        <w:t>The</w:t>
      </w:r>
      <w:r w:rsidR="00FC28A7" w:rsidRPr="00CE66BE">
        <w:rPr>
          <w:rFonts w:cstheme="minorHAnsi"/>
          <w:sz w:val="24"/>
          <w:szCs w:val="24"/>
          <w:lang w:val="en-GB"/>
        </w:rPr>
        <w:t xml:space="preserve"> risk of </w:t>
      </w:r>
      <w:r w:rsidR="00472005" w:rsidRPr="00CE66BE">
        <w:rPr>
          <w:rFonts w:cstheme="minorHAnsi"/>
          <w:sz w:val="24"/>
          <w:szCs w:val="24"/>
          <w:lang w:val="en-GB"/>
        </w:rPr>
        <w:t xml:space="preserve">death at 1 year of age for </w:t>
      </w:r>
      <w:r w:rsidR="003A3D39" w:rsidRPr="00CE66BE">
        <w:rPr>
          <w:rFonts w:cstheme="minorHAnsi"/>
          <w:sz w:val="24"/>
          <w:szCs w:val="24"/>
          <w:lang w:val="en-GB"/>
        </w:rPr>
        <w:t xml:space="preserve">live births with any major </w:t>
      </w:r>
      <w:r w:rsidR="0088257F" w:rsidRPr="00CE66BE">
        <w:rPr>
          <w:rFonts w:cstheme="minorHAnsi"/>
          <w:sz w:val="24"/>
          <w:szCs w:val="24"/>
          <w:lang w:val="en-GB"/>
        </w:rPr>
        <w:t>CA</w:t>
      </w:r>
      <w:r w:rsidR="003A3D39" w:rsidRPr="00CE66BE">
        <w:rPr>
          <w:rFonts w:cstheme="minorHAnsi"/>
          <w:sz w:val="24"/>
          <w:szCs w:val="24"/>
          <w:lang w:val="en-GB"/>
        </w:rPr>
        <w:t xml:space="preserve"> </w:t>
      </w:r>
      <w:r w:rsidR="00FC28A7" w:rsidRPr="00CE66BE">
        <w:rPr>
          <w:rFonts w:cstheme="minorHAnsi"/>
          <w:sz w:val="24"/>
          <w:szCs w:val="24"/>
          <w:lang w:val="en-GB"/>
        </w:rPr>
        <w:t xml:space="preserve">decreased significantly </w:t>
      </w:r>
      <w:r w:rsidR="00506AC1" w:rsidRPr="00CE66BE">
        <w:rPr>
          <w:rFonts w:cstheme="minorHAnsi"/>
          <w:sz w:val="24"/>
          <w:szCs w:val="24"/>
          <w:lang w:val="en-GB"/>
        </w:rPr>
        <w:t xml:space="preserve">in </w:t>
      </w:r>
      <w:r w:rsidR="00FC28A7" w:rsidRPr="00CE66BE">
        <w:rPr>
          <w:rFonts w:cstheme="minorHAnsi"/>
          <w:sz w:val="24"/>
          <w:szCs w:val="24"/>
          <w:lang w:val="en-GB"/>
        </w:rPr>
        <w:t>most of the registries</w:t>
      </w:r>
      <w:r w:rsidR="00A06892" w:rsidRPr="00CE66BE">
        <w:rPr>
          <w:rFonts w:cstheme="minorHAnsi"/>
          <w:sz w:val="24"/>
          <w:szCs w:val="24"/>
          <w:lang w:val="en-GB"/>
        </w:rPr>
        <w:t xml:space="preserve"> over time</w:t>
      </w:r>
      <w:r w:rsidRPr="00CE66BE">
        <w:rPr>
          <w:rFonts w:cstheme="minorHAnsi"/>
          <w:sz w:val="24"/>
          <w:szCs w:val="24"/>
          <w:lang w:val="en-GB"/>
        </w:rPr>
        <w:t xml:space="preserve"> (Table 2)</w:t>
      </w:r>
      <w:r w:rsidR="00FC28A7" w:rsidRPr="00CE66BE">
        <w:rPr>
          <w:rFonts w:cstheme="minorHAnsi"/>
          <w:sz w:val="24"/>
          <w:szCs w:val="24"/>
          <w:lang w:val="en-GB"/>
        </w:rPr>
        <w:t>.</w:t>
      </w:r>
      <w:r w:rsidR="00E44D39" w:rsidRPr="00CE66BE">
        <w:rPr>
          <w:rFonts w:cstheme="minorHAnsi"/>
          <w:sz w:val="24"/>
          <w:szCs w:val="24"/>
          <w:lang w:val="en-GB"/>
        </w:rPr>
        <w:t xml:space="preserve"> For </w:t>
      </w:r>
      <w:r w:rsidR="007826B1" w:rsidRPr="00CE66BE">
        <w:rPr>
          <w:rFonts w:cstheme="minorHAnsi"/>
          <w:sz w:val="24"/>
          <w:szCs w:val="24"/>
          <w:lang w:val="en-GB"/>
        </w:rPr>
        <w:t>Norway</w:t>
      </w:r>
      <w:r w:rsidR="0088257F" w:rsidRPr="00CE66BE">
        <w:rPr>
          <w:rFonts w:cstheme="minorHAnsi"/>
          <w:sz w:val="24"/>
          <w:szCs w:val="24"/>
          <w:lang w:val="en-GB"/>
        </w:rPr>
        <w:t>,</w:t>
      </w:r>
      <w:r w:rsidR="007826B1" w:rsidRPr="00CE66BE">
        <w:rPr>
          <w:rFonts w:cstheme="minorHAnsi"/>
          <w:sz w:val="24"/>
          <w:szCs w:val="24"/>
          <w:lang w:val="en-GB"/>
        </w:rPr>
        <w:t xml:space="preserve"> there was no change </w:t>
      </w:r>
      <w:r w:rsidR="00E66A76" w:rsidRPr="00CE66BE">
        <w:rPr>
          <w:rFonts w:cstheme="minorHAnsi"/>
          <w:sz w:val="24"/>
          <w:szCs w:val="24"/>
          <w:lang w:val="en-GB"/>
        </w:rPr>
        <w:t xml:space="preserve">over time </w:t>
      </w:r>
      <w:r w:rsidR="007826B1" w:rsidRPr="00CE66BE">
        <w:rPr>
          <w:rFonts w:cstheme="minorHAnsi"/>
          <w:sz w:val="24"/>
          <w:szCs w:val="24"/>
          <w:lang w:val="en-GB"/>
        </w:rPr>
        <w:t xml:space="preserve">and for Malta </w:t>
      </w:r>
      <w:r w:rsidR="00506AC1" w:rsidRPr="00CE66BE">
        <w:rPr>
          <w:rFonts w:cstheme="minorHAnsi"/>
          <w:sz w:val="24"/>
          <w:szCs w:val="24"/>
          <w:lang w:val="en-GB"/>
        </w:rPr>
        <w:t xml:space="preserve">there was </w:t>
      </w:r>
      <w:r w:rsidR="00E44D39" w:rsidRPr="00CE66BE">
        <w:rPr>
          <w:rFonts w:cstheme="minorHAnsi"/>
          <w:sz w:val="24"/>
          <w:szCs w:val="24"/>
          <w:lang w:val="en-GB"/>
        </w:rPr>
        <w:t>a</w:t>
      </w:r>
      <w:r w:rsidR="006C32C7" w:rsidRPr="00CE66BE">
        <w:rPr>
          <w:rFonts w:cstheme="minorHAnsi"/>
          <w:sz w:val="24"/>
          <w:szCs w:val="24"/>
          <w:lang w:val="en-GB"/>
        </w:rPr>
        <w:t xml:space="preserve"> </w:t>
      </w:r>
      <w:r w:rsidR="007826B1" w:rsidRPr="00CE66BE">
        <w:rPr>
          <w:rFonts w:cstheme="minorHAnsi"/>
          <w:sz w:val="24"/>
          <w:szCs w:val="24"/>
          <w:lang w:val="en-GB"/>
        </w:rPr>
        <w:t>non-s</w:t>
      </w:r>
      <w:r w:rsidR="006C32C7" w:rsidRPr="00CE66BE">
        <w:rPr>
          <w:rFonts w:cstheme="minorHAnsi"/>
          <w:sz w:val="24"/>
          <w:szCs w:val="24"/>
          <w:lang w:val="en-GB"/>
        </w:rPr>
        <w:t xml:space="preserve">ignificant </w:t>
      </w:r>
      <w:r w:rsidR="00E44D39" w:rsidRPr="00CE66BE">
        <w:rPr>
          <w:rFonts w:cstheme="minorHAnsi"/>
          <w:sz w:val="24"/>
          <w:szCs w:val="24"/>
          <w:lang w:val="en-GB"/>
        </w:rPr>
        <w:t xml:space="preserve">increase </w:t>
      </w:r>
      <w:r w:rsidR="007826B1" w:rsidRPr="00CE66BE">
        <w:rPr>
          <w:rFonts w:cstheme="minorHAnsi"/>
          <w:sz w:val="24"/>
          <w:szCs w:val="24"/>
          <w:lang w:val="en-GB"/>
        </w:rPr>
        <w:t xml:space="preserve">in infant mortality </w:t>
      </w:r>
      <w:r w:rsidR="00E44D39" w:rsidRPr="00CE66BE">
        <w:rPr>
          <w:rFonts w:cstheme="minorHAnsi"/>
          <w:sz w:val="24"/>
          <w:szCs w:val="24"/>
          <w:lang w:val="en-GB"/>
        </w:rPr>
        <w:t>in the 2005-2014 period.</w:t>
      </w:r>
      <w:r w:rsidR="009D5C52" w:rsidRPr="00CE66BE">
        <w:rPr>
          <w:rFonts w:cstheme="minorHAnsi"/>
          <w:sz w:val="24"/>
          <w:szCs w:val="24"/>
          <w:lang w:val="en-GB"/>
        </w:rPr>
        <w:t xml:space="preserve"> The overall risk of </w:t>
      </w:r>
      <w:r w:rsidR="001F20D3" w:rsidRPr="00CE66BE">
        <w:rPr>
          <w:rFonts w:cstheme="minorHAnsi"/>
          <w:sz w:val="24"/>
          <w:szCs w:val="24"/>
          <w:lang w:val="en-GB"/>
        </w:rPr>
        <w:t xml:space="preserve">infant </w:t>
      </w:r>
      <w:r w:rsidR="009D5C52" w:rsidRPr="00CE66BE">
        <w:rPr>
          <w:rFonts w:cstheme="minorHAnsi"/>
          <w:sz w:val="24"/>
          <w:szCs w:val="24"/>
          <w:lang w:val="en-GB"/>
        </w:rPr>
        <w:t xml:space="preserve">death significantly decreased </w:t>
      </w:r>
      <w:r w:rsidR="00914280" w:rsidRPr="00CE66BE">
        <w:rPr>
          <w:rFonts w:cstheme="minorHAnsi"/>
          <w:sz w:val="24"/>
          <w:szCs w:val="24"/>
          <w:lang w:val="en-GB"/>
        </w:rPr>
        <w:t>(HR 0.68</w:t>
      </w:r>
      <w:r w:rsidR="00394FB5">
        <w:rPr>
          <w:rFonts w:cstheme="minorHAnsi"/>
          <w:sz w:val="24"/>
          <w:szCs w:val="24"/>
          <w:lang w:val="en-GB"/>
        </w:rPr>
        <w:t>, 95% CI</w:t>
      </w:r>
      <w:r w:rsidR="00914280" w:rsidRPr="00CE66BE">
        <w:rPr>
          <w:rFonts w:cstheme="minorHAnsi"/>
          <w:sz w:val="24"/>
          <w:szCs w:val="24"/>
          <w:lang w:val="en-GB"/>
        </w:rPr>
        <w:t xml:space="preserve"> </w:t>
      </w:r>
      <w:r w:rsidR="00394FB5">
        <w:rPr>
          <w:rFonts w:cstheme="minorHAnsi"/>
          <w:sz w:val="24"/>
          <w:szCs w:val="24"/>
          <w:lang w:val="en-GB"/>
        </w:rPr>
        <w:t xml:space="preserve">0.53, </w:t>
      </w:r>
      <w:r w:rsidR="00914280" w:rsidRPr="00CE66BE">
        <w:rPr>
          <w:rFonts w:cstheme="minorHAnsi"/>
          <w:sz w:val="24"/>
          <w:szCs w:val="24"/>
          <w:lang w:val="en-GB"/>
        </w:rPr>
        <w:t>0.89)</w:t>
      </w:r>
      <w:r w:rsidR="00C31BAC" w:rsidRPr="00CE66BE">
        <w:rPr>
          <w:rFonts w:cstheme="minorHAnsi"/>
          <w:sz w:val="24"/>
          <w:szCs w:val="24"/>
          <w:lang w:val="en-GB"/>
        </w:rPr>
        <w:t xml:space="preserve"> </w:t>
      </w:r>
      <w:r w:rsidR="002F1AC1" w:rsidRPr="00CE66BE">
        <w:rPr>
          <w:rFonts w:cstheme="minorHAnsi"/>
          <w:sz w:val="24"/>
          <w:szCs w:val="24"/>
          <w:lang w:val="en-GB"/>
        </w:rPr>
        <w:t>as well as</w:t>
      </w:r>
      <w:r w:rsidR="00FC28A7" w:rsidRPr="00CE66BE">
        <w:rPr>
          <w:rFonts w:cstheme="minorHAnsi"/>
          <w:sz w:val="24"/>
          <w:szCs w:val="24"/>
          <w:lang w:val="en-GB"/>
        </w:rPr>
        <w:t xml:space="preserve"> for death</w:t>
      </w:r>
      <w:r w:rsidR="002A7718" w:rsidRPr="00CE66BE">
        <w:rPr>
          <w:rFonts w:cstheme="minorHAnsi"/>
          <w:sz w:val="24"/>
          <w:szCs w:val="24"/>
          <w:lang w:val="en-GB"/>
        </w:rPr>
        <w:t>s</w:t>
      </w:r>
      <w:r w:rsidR="00FC28A7" w:rsidRPr="00CE66BE">
        <w:rPr>
          <w:rFonts w:cstheme="minorHAnsi"/>
          <w:sz w:val="24"/>
          <w:szCs w:val="24"/>
          <w:lang w:val="en-GB"/>
        </w:rPr>
        <w:t xml:space="preserve"> </w:t>
      </w:r>
      <w:r w:rsidR="00890FA8" w:rsidRPr="00CE66BE">
        <w:rPr>
          <w:rFonts w:cstheme="minorHAnsi"/>
          <w:sz w:val="24"/>
          <w:szCs w:val="24"/>
          <w:lang w:val="en-GB"/>
        </w:rPr>
        <w:t>from</w:t>
      </w:r>
      <w:r w:rsidR="00FC28A7" w:rsidRPr="00CE66BE">
        <w:rPr>
          <w:rFonts w:cstheme="minorHAnsi"/>
          <w:sz w:val="24"/>
          <w:szCs w:val="24"/>
          <w:lang w:val="en-GB"/>
        </w:rPr>
        <w:t xml:space="preserve"> 1-9 ye</w:t>
      </w:r>
      <w:r w:rsidR="003D1A20" w:rsidRPr="00CE66BE">
        <w:rPr>
          <w:rFonts w:cstheme="minorHAnsi"/>
          <w:sz w:val="24"/>
          <w:szCs w:val="24"/>
          <w:lang w:val="en-GB"/>
        </w:rPr>
        <w:t>ars of age</w:t>
      </w:r>
      <w:r w:rsidR="00A732B3" w:rsidRPr="00CE66BE">
        <w:rPr>
          <w:rFonts w:cstheme="minorHAnsi"/>
          <w:sz w:val="24"/>
          <w:szCs w:val="24"/>
          <w:lang w:val="en-GB"/>
        </w:rPr>
        <w:t xml:space="preserve"> </w:t>
      </w:r>
      <w:r w:rsidR="009D5C52" w:rsidRPr="00CE66BE">
        <w:rPr>
          <w:rFonts w:cstheme="minorHAnsi"/>
          <w:sz w:val="24"/>
          <w:szCs w:val="24"/>
          <w:lang w:val="en-GB"/>
        </w:rPr>
        <w:t>(HR 0.7</w:t>
      </w:r>
      <w:r w:rsidR="00914280" w:rsidRPr="00CE66BE">
        <w:rPr>
          <w:rFonts w:cstheme="minorHAnsi"/>
          <w:sz w:val="24"/>
          <w:szCs w:val="24"/>
          <w:lang w:val="en-GB"/>
        </w:rPr>
        <w:t>5</w:t>
      </w:r>
      <w:r w:rsidR="00394FB5">
        <w:rPr>
          <w:rFonts w:cstheme="minorHAnsi"/>
          <w:sz w:val="24"/>
          <w:szCs w:val="24"/>
          <w:lang w:val="en-GB"/>
        </w:rPr>
        <w:t>,</w:t>
      </w:r>
      <w:r w:rsidR="009D5C52" w:rsidRPr="00CE66BE">
        <w:rPr>
          <w:rFonts w:cstheme="minorHAnsi"/>
          <w:sz w:val="24"/>
          <w:szCs w:val="24"/>
          <w:lang w:val="en-GB"/>
        </w:rPr>
        <w:t xml:space="preserve"> 95% CI 0.6</w:t>
      </w:r>
      <w:r w:rsidR="00394FB5">
        <w:rPr>
          <w:rFonts w:cstheme="minorHAnsi"/>
          <w:sz w:val="24"/>
          <w:szCs w:val="24"/>
          <w:lang w:val="en-GB"/>
        </w:rPr>
        <w:t xml:space="preserve">2, </w:t>
      </w:r>
      <w:r w:rsidR="00914280" w:rsidRPr="00CE66BE">
        <w:rPr>
          <w:rFonts w:cstheme="minorHAnsi"/>
          <w:sz w:val="24"/>
          <w:szCs w:val="24"/>
          <w:lang w:val="en-GB"/>
        </w:rPr>
        <w:t>0.91</w:t>
      </w:r>
      <w:r w:rsidR="009D5C52" w:rsidRPr="00CE66BE">
        <w:rPr>
          <w:rFonts w:cstheme="minorHAnsi"/>
          <w:sz w:val="24"/>
          <w:szCs w:val="24"/>
          <w:lang w:val="en-GB"/>
        </w:rPr>
        <w:t>)</w:t>
      </w:r>
      <w:r w:rsidR="00A732B3" w:rsidRPr="00CE66BE">
        <w:rPr>
          <w:rFonts w:cstheme="minorHAnsi"/>
          <w:sz w:val="24"/>
          <w:szCs w:val="24"/>
          <w:lang w:val="en-GB"/>
        </w:rPr>
        <w:t>. The</w:t>
      </w:r>
      <w:r w:rsidR="003D1A20" w:rsidRPr="00CE66BE">
        <w:rPr>
          <w:rFonts w:cstheme="minorHAnsi"/>
          <w:sz w:val="24"/>
          <w:szCs w:val="24"/>
          <w:lang w:val="en-GB"/>
        </w:rPr>
        <w:t xml:space="preserve"> small numbers of deaths </w:t>
      </w:r>
      <w:r w:rsidR="007826B1" w:rsidRPr="00CE66BE">
        <w:rPr>
          <w:rFonts w:cstheme="minorHAnsi"/>
          <w:sz w:val="24"/>
          <w:szCs w:val="24"/>
          <w:lang w:val="en-GB"/>
        </w:rPr>
        <w:t>after</w:t>
      </w:r>
      <w:r w:rsidR="003D1A20" w:rsidRPr="00CE66BE">
        <w:rPr>
          <w:rFonts w:cstheme="minorHAnsi"/>
          <w:sz w:val="24"/>
          <w:szCs w:val="24"/>
          <w:lang w:val="en-GB"/>
        </w:rPr>
        <w:t xml:space="preserve"> </w:t>
      </w:r>
      <w:r w:rsidR="00D5071C" w:rsidRPr="00CE66BE">
        <w:rPr>
          <w:rFonts w:cstheme="minorHAnsi"/>
          <w:sz w:val="24"/>
          <w:szCs w:val="24"/>
          <w:lang w:val="en-GB"/>
        </w:rPr>
        <w:t xml:space="preserve">1 year of </w:t>
      </w:r>
      <w:r w:rsidR="003D1A20" w:rsidRPr="00CE66BE">
        <w:rPr>
          <w:rFonts w:cstheme="minorHAnsi"/>
          <w:sz w:val="24"/>
          <w:szCs w:val="24"/>
          <w:lang w:val="en-GB"/>
        </w:rPr>
        <w:t>age</w:t>
      </w:r>
      <w:r w:rsidR="00A732B3" w:rsidRPr="00CE66BE">
        <w:rPr>
          <w:rFonts w:cstheme="minorHAnsi"/>
          <w:sz w:val="24"/>
          <w:szCs w:val="24"/>
          <w:lang w:val="en-GB"/>
        </w:rPr>
        <w:t xml:space="preserve"> by registry </w:t>
      </w:r>
      <w:r w:rsidR="003D1A20" w:rsidRPr="00CE66BE">
        <w:rPr>
          <w:rFonts w:cstheme="minorHAnsi"/>
          <w:sz w:val="24"/>
          <w:szCs w:val="24"/>
          <w:lang w:val="en-GB"/>
        </w:rPr>
        <w:t xml:space="preserve">resulted in wide </w:t>
      </w:r>
      <w:r w:rsidR="00FE521F" w:rsidRPr="00CE66BE">
        <w:rPr>
          <w:rFonts w:cstheme="minorHAnsi"/>
          <w:sz w:val="24"/>
          <w:szCs w:val="24"/>
          <w:lang w:val="en-GB"/>
        </w:rPr>
        <w:t>confidence intervals</w:t>
      </w:r>
      <w:r w:rsidR="006501DD" w:rsidRPr="00CE66BE">
        <w:rPr>
          <w:rFonts w:cstheme="minorHAnsi"/>
          <w:sz w:val="24"/>
          <w:szCs w:val="24"/>
          <w:lang w:val="en-GB"/>
        </w:rPr>
        <w:t>.</w:t>
      </w:r>
    </w:p>
    <w:p w14:paraId="73C7F234" w14:textId="429C5E17" w:rsidR="005F6A61" w:rsidRPr="00CE66BE" w:rsidRDefault="002A7718" w:rsidP="00754F3C">
      <w:pPr>
        <w:spacing w:after="0" w:line="480" w:lineRule="auto"/>
        <w:rPr>
          <w:rFonts w:cstheme="minorHAnsi"/>
          <w:sz w:val="24"/>
          <w:szCs w:val="24"/>
          <w:lang w:val="en-GB"/>
        </w:rPr>
      </w:pPr>
      <w:r w:rsidRPr="00CE66BE">
        <w:rPr>
          <w:rFonts w:cstheme="minorHAnsi"/>
          <w:sz w:val="24"/>
          <w:szCs w:val="24"/>
          <w:lang w:val="en-GB"/>
        </w:rPr>
        <w:t>For</w:t>
      </w:r>
      <w:r w:rsidR="00B011D6" w:rsidRPr="00CE66BE">
        <w:rPr>
          <w:rFonts w:cstheme="minorHAnsi"/>
          <w:sz w:val="24"/>
          <w:szCs w:val="24"/>
          <w:lang w:val="en-GB"/>
        </w:rPr>
        <w:t xml:space="preserve"> </w:t>
      </w:r>
      <w:r w:rsidR="003A3D39" w:rsidRPr="00CE66BE">
        <w:rPr>
          <w:rFonts w:cstheme="minorHAnsi"/>
          <w:sz w:val="24"/>
          <w:szCs w:val="24"/>
          <w:lang w:val="en-GB"/>
        </w:rPr>
        <w:t xml:space="preserve">live births with </w:t>
      </w:r>
      <w:r w:rsidR="00625DEE" w:rsidRPr="00CE66BE">
        <w:rPr>
          <w:rFonts w:cstheme="minorHAnsi"/>
          <w:sz w:val="24"/>
          <w:szCs w:val="24"/>
          <w:lang w:val="en-GB"/>
        </w:rPr>
        <w:t xml:space="preserve">isolated </w:t>
      </w:r>
      <w:r w:rsidR="00767FA6" w:rsidRPr="00CE66BE">
        <w:rPr>
          <w:rFonts w:cstheme="minorHAnsi"/>
          <w:sz w:val="24"/>
          <w:szCs w:val="24"/>
          <w:lang w:val="en-GB"/>
        </w:rPr>
        <w:t xml:space="preserve">severe </w:t>
      </w:r>
      <w:r w:rsidR="00625DEE" w:rsidRPr="00CE66BE">
        <w:rPr>
          <w:rFonts w:cstheme="minorHAnsi"/>
          <w:sz w:val="24"/>
          <w:szCs w:val="24"/>
          <w:lang w:val="en-GB"/>
        </w:rPr>
        <w:t xml:space="preserve">CHD </w:t>
      </w:r>
      <w:r w:rsidR="00B87390" w:rsidRPr="00CE66BE">
        <w:rPr>
          <w:rFonts w:cstheme="minorHAnsi"/>
          <w:sz w:val="24"/>
          <w:szCs w:val="24"/>
          <w:lang w:val="en-GB"/>
        </w:rPr>
        <w:t>(Table 2</w:t>
      </w:r>
      <w:r w:rsidR="00FC28A7" w:rsidRPr="00CE66BE">
        <w:rPr>
          <w:rFonts w:cstheme="minorHAnsi"/>
          <w:sz w:val="24"/>
          <w:szCs w:val="24"/>
          <w:lang w:val="en-GB"/>
        </w:rPr>
        <w:t>)</w:t>
      </w:r>
      <w:r w:rsidR="00890FA8" w:rsidRPr="00CE66BE">
        <w:rPr>
          <w:rFonts w:cstheme="minorHAnsi"/>
          <w:sz w:val="24"/>
          <w:szCs w:val="24"/>
          <w:lang w:val="en-GB"/>
        </w:rPr>
        <w:t xml:space="preserve"> with much higher mortality rates</w:t>
      </w:r>
      <w:r w:rsidRPr="00CE66BE">
        <w:rPr>
          <w:rFonts w:cstheme="minorHAnsi"/>
          <w:sz w:val="24"/>
          <w:szCs w:val="24"/>
          <w:lang w:val="en-GB"/>
        </w:rPr>
        <w:t>,</w:t>
      </w:r>
      <w:r w:rsidR="00FC28A7" w:rsidRPr="00CE66BE">
        <w:rPr>
          <w:rFonts w:cstheme="minorHAnsi"/>
          <w:sz w:val="24"/>
          <w:szCs w:val="24"/>
          <w:lang w:val="en-GB"/>
        </w:rPr>
        <w:t xml:space="preserve"> </w:t>
      </w:r>
      <w:r w:rsidR="00890FA8" w:rsidRPr="00CE66BE">
        <w:rPr>
          <w:rFonts w:cstheme="minorHAnsi"/>
          <w:sz w:val="24"/>
          <w:szCs w:val="24"/>
          <w:lang w:val="en-GB"/>
        </w:rPr>
        <w:t xml:space="preserve">a similar significant </w:t>
      </w:r>
      <w:r w:rsidR="00FC28A7" w:rsidRPr="00CE66BE">
        <w:rPr>
          <w:rFonts w:cstheme="minorHAnsi"/>
          <w:sz w:val="24"/>
          <w:szCs w:val="24"/>
          <w:lang w:val="en-GB"/>
        </w:rPr>
        <w:t>decr</w:t>
      </w:r>
      <w:r w:rsidR="003D1A20" w:rsidRPr="00CE66BE">
        <w:rPr>
          <w:rFonts w:cstheme="minorHAnsi"/>
          <w:sz w:val="24"/>
          <w:szCs w:val="24"/>
          <w:lang w:val="en-GB"/>
        </w:rPr>
        <w:t xml:space="preserve">ease </w:t>
      </w:r>
      <w:r w:rsidRPr="00CE66BE">
        <w:rPr>
          <w:rFonts w:cstheme="minorHAnsi"/>
          <w:sz w:val="24"/>
          <w:szCs w:val="24"/>
          <w:lang w:val="en-GB"/>
        </w:rPr>
        <w:t>in</w:t>
      </w:r>
      <w:r w:rsidR="003D1A20" w:rsidRPr="00CE66BE">
        <w:rPr>
          <w:rFonts w:cstheme="minorHAnsi"/>
          <w:sz w:val="24"/>
          <w:szCs w:val="24"/>
          <w:lang w:val="en-GB"/>
        </w:rPr>
        <w:t xml:space="preserve"> the risk</w:t>
      </w:r>
      <w:r w:rsidR="00340127" w:rsidRPr="00CE66BE">
        <w:rPr>
          <w:rFonts w:cstheme="minorHAnsi"/>
          <w:sz w:val="24"/>
          <w:szCs w:val="24"/>
          <w:lang w:val="en-GB"/>
        </w:rPr>
        <w:t xml:space="preserve"> of </w:t>
      </w:r>
      <w:r w:rsidR="007826B1" w:rsidRPr="00CE66BE">
        <w:rPr>
          <w:rFonts w:cstheme="minorHAnsi"/>
          <w:sz w:val="24"/>
          <w:szCs w:val="24"/>
          <w:lang w:val="en-GB"/>
        </w:rPr>
        <w:t xml:space="preserve">infant </w:t>
      </w:r>
      <w:r w:rsidR="00340127" w:rsidRPr="00CE66BE">
        <w:rPr>
          <w:rFonts w:cstheme="minorHAnsi"/>
          <w:sz w:val="24"/>
          <w:szCs w:val="24"/>
          <w:lang w:val="en-GB"/>
        </w:rPr>
        <w:t xml:space="preserve">death was </w:t>
      </w:r>
      <w:r w:rsidR="00890FA8" w:rsidRPr="00CE66BE">
        <w:rPr>
          <w:rFonts w:cstheme="minorHAnsi"/>
          <w:sz w:val="24"/>
          <w:szCs w:val="24"/>
          <w:lang w:val="en-GB"/>
        </w:rPr>
        <w:t xml:space="preserve">observed </w:t>
      </w:r>
      <w:r w:rsidR="00A732B3" w:rsidRPr="00CE66BE">
        <w:rPr>
          <w:rFonts w:cstheme="minorHAnsi"/>
          <w:sz w:val="24"/>
          <w:szCs w:val="24"/>
          <w:lang w:val="en-GB"/>
        </w:rPr>
        <w:t>(HR 0.</w:t>
      </w:r>
      <w:r w:rsidR="00914280" w:rsidRPr="00CE66BE">
        <w:rPr>
          <w:rFonts w:cstheme="minorHAnsi"/>
          <w:sz w:val="24"/>
          <w:szCs w:val="24"/>
          <w:lang w:val="en-GB"/>
        </w:rPr>
        <w:t>59</w:t>
      </w:r>
      <w:r w:rsidR="00394FB5">
        <w:rPr>
          <w:rFonts w:cstheme="minorHAnsi"/>
          <w:sz w:val="24"/>
          <w:szCs w:val="24"/>
          <w:lang w:val="en-GB"/>
        </w:rPr>
        <w:t xml:space="preserve">, 95% CI </w:t>
      </w:r>
      <w:r w:rsidR="00A732B3" w:rsidRPr="00CE66BE">
        <w:rPr>
          <w:rFonts w:cstheme="minorHAnsi"/>
          <w:sz w:val="24"/>
          <w:szCs w:val="24"/>
          <w:lang w:val="en-GB"/>
        </w:rPr>
        <w:t>0.4</w:t>
      </w:r>
      <w:r w:rsidR="00914280" w:rsidRPr="00CE66BE">
        <w:rPr>
          <w:rFonts w:cstheme="minorHAnsi"/>
          <w:sz w:val="24"/>
          <w:szCs w:val="24"/>
          <w:lang w:val="en-GB"/>
        </w:rPr>
        <w:t>6</w:t>
      </w:r>
      <w:r w:rsidR="00394FB5">
        <w:rPr>
          <w:rFonts w:cstheme="minorHAnsi"/>
          <w:sz w:val="24"/>
          <w:szCs w:val="24"/>
          <w:lang w:val="en-GB"/>
        </w:rPr>
        <w:t xml:space="preserve">, </w:t>
      </w:r>
      <w:r w:rsidR="00A732B3" w:rsidRPr="00CE66BE">
        <w:rPr>
          <w:rFonts w:cstheme="minorHAnsi"/>
          <w:sz w:val="24"/>
          <w:szCs w:val="24"/>
          <w:lang w:val="en-GB"/>
        </w:rPr>
        <w:t>0.7</w:t>
      </w:r>
      <w:r w:rsidR="00914280" w:rsidRPr="00CE66BE">
        <w:rPr>
          <w:rFonts w:cstheme="minorHAnsi"/>
          <w:sz w:val="24"/>
          <w:szCs w:val="24"/>
          <w:lang w:val="en-GB"/>
        </w:rPr>
        <w:t>4</w:t>
      </w:r>
      <w:r w:rsidR="00A732B3" w:rsidRPr="00CE66BE">
        <w:rPr>
          <w:rFonts w:cstheme="minorHAnsi"/>
          <w:sz w:val="24"/>
          <w:szCs w:val="24"/>
          <w:lang w:val="en-GB"/>
        </w:rPr>
        <w:t>). A lower risk was evident for all the registries,</w:t>
      </w:r>
      <w:r w:rsidR="00340127" w:rsidRPr="00CE66BE">
        <w:rPr>
          <w:rFonts w:cstheme="minorHAnsi"/>
          <w:sz w:val="24"/>
          <w:szCs w:val="24"/>
          <w:lang w:val="en-GB"/>
        </w:rPr>
        <w:t xml:space="preserve"> except for Malta</w:t>
      </w:r>
      <w:r w:rsidR="003D1A20" w:rsidRPr="00CE66BE">
        <w:rPr>
          <w:rFonts w:cstheme="minorHAnsi"/>
          <w:sz w:val="24"/>
          <w:szCs w:val="24"/>
          <w:lang w:val="en-GB"/>
        </w:rPr>
        <w:t xml:space="preserve">. </w:t>
      </w:r>
      <w:r w:rsidR="00890FA8" w:rsidRPr="00CE66BE">
        <w:rPr>
          <w:rFonts w:cstheme="minorHAnsi"/>
          <w:sz w:val="24"/>
          <w:szCs w:val="24"/>
          <w:lang w:val="en-GB"/>
        </w:rPr>
        <w:t xml:space="preserve">For deaths </w:t>
      </w:r>
      <w:r w:rsidR="00C156C9" w:rsidRPr="00CE66BE">
        <w:rPr>
          <w:rFonts w:cstheme="minorHAnsi"/>
          <w:sz w:val="24"/>
          <w:szCs w:val="24"/>
          <w:lang w:val="en-GB"/>
        </w:rPr>
        <w:t>between</w:t>
      </w:r>
      <w:r w:rsidR="003D1A20" w:rsidRPr="00CE66BE">
        <w:rPr>
          <w:rFonts w:cstheme="minorHAnsi"/>
          <w:sz w:val="24"/>
          <w:szCs w:val="24"/>
          <w:lang w:val="en-GB"/>
        </w:rPr>
        <w:t xml:space="preserve"> 1-9 years of age</w:t>
      </w:r>
      <w:r w:rsidR="00C156C9" w:rsidRPr="00CE66BE">
        <w:rPr>
          <w:rFonts w:cstheme="minorHAnsi"/>
          <w:sz w:val="24"/>
          <w:szCs w:val="24"/>
          <w:lang w:val="en-GB"/>
        </w:rPr>
        <w:t>,</w:t>
      </w:r>
      <w:r w:rsidR="00890FA8" w:rsidRPr="00CE66BE">
        <w:rPr>
          <w:rFonts w:cstheme="minorHAnsi"/>
          <w:sz w:val="24"/>
          <w:szCs w:val="24"/>
          <w:lang w:val="en-GB"/>
        </w:rPr>
        <w:t xml:space="preserve"> the </w:t>
      </w:r>
      <w:r w:rsidR="003D1A20" w:rsidRPr="00CE66BE">
        <w:rPr>
          <w:rFonts w:cstheme="minorHAnsi"/>
          <w:sz w:val="24"/>
          <w:szCs w:val="24"/>
          <w:lang w:val="en-GB"/>
        </w:rPr>
        <w:t xml:space="preserve">decrease </w:t>
      </w:r>
      <w:r w:rsidR="003A3D39" w:rsidRPr="00CE66BE">
        <w:rPr>
          <w:rFonts w:cstheme="minorHAnsi"/>
          <w:sz w:val="24"/>
          <w:szCs w:val="24"/>
          <w:lang w:val="en-GB"/>
        </w:rPr>
        <w:t>in</w:t>
      </w:r>
      <w:r w:rsidR="003D1A20" w:rsidRPr="00CE66BE">
        <w:rPr>
          <w:rFonts w:cstheme="minorHAnsi"/>
          <w:sz w:val="24"/>
          <w:szCs w:val="24"/>
          <w:lang w:val="en-GB"/>
        </w:rPr>
        <w:t xml:space="preserve"> </w:t>
      </w:r>
      <w:r w:rsidR="008F299D" w:rsidRPr="00CE66BE">
        <w:rPr>
          <w:rFonts w:cstheme="minorHAnsi"/>
          <w:sz w:val="24"/>
          <w:szCs w:val="24"/>
          <w:lang w:val="en-GB"/>
        </w:rPr>
        <w:t>mortality</w:t>
      </w:r>
      <w:r w:rsidR="003D1A20" w:rsidRPr="00CE66BE">
        <w:rPr>
          <w:rFonts w:cstheme="minorHAnsi"/>
          <w:sz w:val="24"/>
          <w:szCs w:val="24"/>
          <w:lang w:val="en-GB"/>
        </w:rPr>
        <w:t xml:space="preserve"> </w:t>
      </w:r>
      <w:r w:rsidR="00890FA8" w:rsidRPr="00CE66BE">
        <w:rPr>
          <w:rFonts w:cstheme="minorHAnsi"/>
          <w:sz w:val="24"/>
          <w:szCs w:val="24"/>
          <w:lang w:val="en-GB"/>
        </w:rPr>
        <w:t xml:space="preserve">was again similar to that observed for </w:t>
      </w:r>
      <w:r w:rsidR="00C156C9" w:rsidRPr="00CE66BE">
        <w:rPr>
          <w:rFonts w:cstheme="minorHAnsi"/>
          <w:sz w:val="24"/>
          <w:szCs w:val="24"/>
          <w:lang w:val="en-GB"/>
        </w:rPr>
        <w:t xml:space="preserve">‘All anomalies’ but was not statistically significant due </w:t>
      </w:r>
      <w:r w:rsidR="00767FA6" w:rsidRPr="00CE66BE">
        <w:rPr>
          <w:rFonts w:cstheme="minorHAnsi"/>
          <w:sz w:val="24"/>
          <w:szCs w:val="24"/>
          <w:lang w:val="en-GB"/>
        </w:rPr>
        <w:t xml:space="preserve">to </w:t>
      </w:r>
      <w:r w:rsidR="00C156C9" w:rsidRPr="00CE66BE">
        <w:rPr>
          <w:rFonts w:cstheme="minorHAnsi"/>
          <w:sz w:val="24"/>
          <w:szCs w:val="24"/>
          <w:lang w:val="en-GB"/>
        </w:rPr>
        <w:t xml:space="preserve">a much smaller number of events.  </w:t>
      </w:r>
      <w:r w:rsidR="005F6A61" w:rsidRPr="00CE66BE">
        <w:rPr>
          <w:rFonts w:cstheme="minorHAnsi"/>
          <w:sz w:val="24"/>
          <w:szCs w:val="24"/>
          <w:lang w:val="en-GB"/>
        </w:rPr>
        <w:t xml:space="preserve">   </w:t>
      </w:r>
    </w:p>
    <w:p w14:paraId="781DD4F8" w14:textId="77777777" w:rsidR="005A76BC" w:rsidRPr="00CE66BE" w:rsidRDefault="005A76BC" w:rsidP="00754F3C">
      <w:pPr>
        <w:spacing w:after="0" w:line="480" w:lineRule="auto"/>
        <w:rPr>
          <w:rFonts w:cstheme="minorHAnsi"/>
          <w:sz w:val="24"/>
          <w:szCs w:val="24"/>
          <w:lang w:val="en-GB"/>
        </w:rPr>
      </w:pPr>
    </w:p>
    <w:p w14:paraId="393E58A5" w14:textId="3BC9F5F5" w:rsidR="000403AD" w:rsidRPr="00CE66BE" w:rsidRDefault="00D54340" w:rsidP="00754F3C">
      <w:pPr>
        <w:spacing w:after="0" w:line="480" w:lineRule="auto"/>
        <w:rPr>
          <w:rFonts w:cstheme="minorHAnsi"/>
          <w:b/>
          <w:sz w:val="24"/>
          <w:szCs w:val="24"/>
          <w:lang w:val="en-GB"/>
        </w:rPr>
      </w:pPr>
      <w:r w:rsidRPr="00CE66BE">
        <w:rPr>
          <w:rFonts w:cstheme="minorHAnsi"/>
          <w:b/>
          <w:sz w:val="24"/>
          <w:szCs w:val="24"/>
          <w:lang w:val="en-GB"/>
        </w:rPr>
        <w:t xml:space="preserve">Differences </w:t>
      </w:r>
      <w:r w:rsidR="00C16A9D" w:rsidRPr="00C16A9D">
        <w:rPr>
          <w:b/>
          <w:sz w:val="24"/>
          <w:szCs w:val="24"/>
          <w:lang w:val="en-GB"/>
        </w:rPr>
        <w:t>in survival across registries</w:t>
      </w:r>
    </w:p>
    <w:p w14:paraId="62032FFE" w14:textId="78BC8F85" w:rsidR="004A7C9D" w:rsidRPr="00CE66BE" w:rsidRDefault="00B011D6" w:rsidP="00754F3C">
      <w:pPr>
        <w:spacing w:after="0" w:line="480" w:lineRule="auto"/>
        <w:rPr>
          <w:rFonts w:cstheme="minorHAnsi"/>
          <w:sz w:val="24"/>
          <w:szCs w:val="24"/>
          <w:lang w:val="en-GB"/>
        </w:rPr>
      </w:pPr>
      <w:r w:rsidRPr="00CE66BE">
        <w:rPr>
          <w:rFonts w:cstheme="minorHAnsi"/>
          <w:sz w:val="24"/>
          <w:szCs w:val="24"/>
          <w:lang w:val="en-GB"/>
        </w:rPr>
        <w:lastRenderedPageBreak/>
        <w:t>Survival estimates</w:t>
      </w:r>
      <w:r w:rsidR="00340127" w:rsidRPr="00CE66BE">
        <w:rPr>
          <w:rFonts w:cstheme="minorHAnsi"/>
          <w:sz w:val="24"/>
          <w:szCs w:val="24"/>
          <w:lang w:val="en-GB"/>
        </w:rPr>
        <w:t xml:space="preserve"> at 28 days and 5 years of age</w:t>
      </w:r>
      <w:r w:rsidR="00DE31A9" w:rsidRPr="00CE66BE">
        <w:rPr>
          <w:rFonts w:cstheme="minorHAnsi"/>
          <w:sz w:val="24"/>
          <w:szCs w:val="24"/>
          <w:lang w:val="en-GB"/>
        </w:rPr>
        <w:t xml:space="preserve"> </w:t>
      </w:r>
      <w:r w:rsidRPr="00CE66BE">
        <w:rPr>
          <w:rFonts w:cstheme="minorHAnsi"/>
          <w:sz w:val="24"/>
          <w:szCs w:val="24"/>
          <w:lang w:val="en-GB"/>
        </w:rPr>
        <w:t xml:space="preserve">for </w:t>
      </w:r>
      <w:r w:rsidR="0012132D" w:rsidRPr="00CE66BE">
        <w:rPr>
          <w:rFonts w:cstheme="minorHAnsi"/>
          <w:sz w:val="24"/>
          <w:szCs w:val="24"/>
          <w:lang w:val="en-GB"/>
        </w:rPr>
        <w:t>‘A</w:t>
      </w:r>
      <w:r w:rsidR="008F299D" w:rsidRPr="00CE66BE">
        <w:rPr>
          <w:rFonts w:cstheme="minorHAnsi"/>
          <w:sz w:val="24"/>
          <w:szCs w:val="24"/>
          <w:lang w:val="en-GB"/>
        </w:rPr>
        <w:t>ll anomalies</w:t>
      </w:r>
      <w:r w:rsidR="0012132D" w:rsidRPr="00CE66BE">
        <w:rPr>
          <w:rFonts w:cstheme="minorHAnsi"/>
          <w:sz w:val="24"/>
          <w:szCs w:val="24"/>
          <w:lang w:val="en-GB"/>
        </w:rPr>
        <w:t>’</w:t>
      </w:r>
      <w:r w:rsidR="007A1259" w:rsidRPr="00CE66BE">
        <w:rPr>
          <w:rFonts w:cstheme="minorHAnsi"/>
          <w:sz w:val="24"/>
          <w:szCs w:val="24"/>
          <w:lang w:val="en-GB"/>
        </w:rPr>
        <w:t xml:space="preserve"> in the period 2005-2014</w:t>
      </w:r>
      <w:r w:rsidR="00340127" w:rsidRPr="00CE66BE">
        <w:rPr>
          <w:rFonts w:cstheme="minorHAnsi"/>
          <w:sz w:val="24"/>
          <w:szCs w:val="24"/>
          <w:lang w:val="en-GB"/>
        </w:rPr>
        <w:t xml:space="preserve"> </w:t>
      </w:r>
      <w:r w:rsidR="00212267" w:rsidRPr="00CE66BE">
        <w:rPr>
          <w:rFonts w:cstheme="minorHAnsi"/>
          <w:sz w:val="24"/>
          <w:szCs w:val="24"/>
          <w:lang w:val="en-GB"/>
        </w:rPr>
        <w:t xml:space="preserve">are </w:t>
      </w:r>
      <w:r w:rsidR="00C27AA2" w:rsidRPr="00CE66BE">
        <w:rPr>
          <w:rFonts w:cstheme="minorHAnsi"/>
          <w:sz w:val="24"/>
          <w:szCs w:val="24"/>
          <w:lang w:val="en-GB"/>
        </w:rPr>
        <w:t xml:space="preserve">reported in Table 3 and </w:t>
      </w:r>
      <w:r w:rsidR="00212267" w:rsidRPr="00CE66BE">
        <w:rPr>
          <w:rFonts w:cstheme="minorHAnsi"/>
          <w:sz w:val="24"/>
          <w:szCs w:val="24"/>
          <w:lang w:val="en-GB"/>
        </w:rPr>
        <w:t>plotted</w:t>
      </w:r>
      <w:r w:rsidR="00212267" w:rsidRPr="00CE66BE">
        <w:rPr>
          <w:rFonts w:cstheme="minorHAnsi"/>
          <w:b/>
          <w:sz w:val="24"/>
          <w:szCs w:val="24"/>
          <w:lang w:val="en-GB"/>
        </w:rPr>
        <w:t xml:space="preserve"> </w:t>
      </w:r>
      <w:r w:rsidR="00212267" w:rsidRPr="00CE66BE">
        <w:rPr>
          <w:rFonts w:cstheme="minorHAnsi"/>
          <w:sz w:val="24"/>
          <w:szCs w:val="24"/>
          <w:lang w:val="en-GB"/>
        </w:rPr>
        <w:t xml:space="preserve">in Figure </w:t>
      </w:r>
      <w:r w:rsidR="009F6775">
        <w:rPr>
          <w:rFonts w:cstheme="minorHAnsi"/>
          <w:sz w:val="24"/>
          <w:szCs w:val="24"/>
          <w:lang w:val="en-GB"/>
        </w:rPr>
        <w:t>S1</w:t>
      </w:r>
      <w:r w:rsidR="004622FC" w:rsidRPr="00CE66BE">
        <w:rPr>
          <w:rFonts w:cstheme="minorHAnsi"/>
          <w:sz w:val="24"/>
          <w:szCs w:val="24"/>
          <w:lang w:val="en-GB"/>
        </w:rPr>
        <w:t xml:space="preserve">. </w:t>
      </w:r>
      <w:r w:rsidR="000E1ED1" w:rsidRPr="00CE66BE">
        <w:rPr>
          <w:rFonts w:cstheme="minorHAnsi"/>
          <w:sz w:val="24"/>
          <w:szCs w:val="24"/>
          <w:lang w:val="en-GB"/>
        </w:rPr>
        <w:t xml:space="preserve">There was high heterogeneity of the estimates </w:t>
      </w:r>
      <w:r w:rsidR="002719E9" w:rsidRPr="00CE66BE">
        <w:rPr>
          <w:rFonts w:cstheme="minorHAnsi"/>
          <w:sz w:val="24"/>
          <w:szCs w:val="24"/>
          <w:lang w:val="en-GB"/>
        </w:rPr>
        <w:t xml:space="preserve">at 28 days and 5 years of age </w:t>
      </w:r>
      <w:r w:rsidR="000E1ED1" w:rsidRPr="00CE66BE">
        <w:rPr>
          <w:rFonts w:cstheme="minorHAnsi"/>
          <w:sz w:val="24"/>
          <w:szCs w:val="24"/>
          <w:lang w:val="en-GB"/>
        </w:rPr>
        <w:t>(I</w:t>
      </w:r>
      <w:r w:rsidR="000E1ED1" w:rsidRPr="00CE66BE">
        <w:rPr>
          <w:rFonts w:cstheme="minorHAnsi"/>
          <w:sz w:val="24"/>
          <w:szCs w:val="24"/>
          <w:vertAlign w:val="superscript"/>
          <w:lang w:val="en-GB"/>
        </w:rPr>
        <w:t>2</w:t>
      </w:r>
      <w:r w:rsidR="000E1ED1" w:rsidRPr="00CE66BE">
        <w:rPr>
          <w:rFonts w:cstheme="minorHAnsi"/>
          <w:sz w:val="24"/>
          <w:szCs w:val="24"/>
          <w:lang w:val="en-GB"/>
        </w:rPr>
        <w:t xml:space="preserve">= 97.8%, and 99.0%, respectively). </w:t>
      </w:r>
      <w:r w:rsidR="004622FC" w:rsidRPr="00CE66BE">
        <w:rPr>
          <w:rFonts w:cstheme="minorHAnsi"/>
          <w:sz w:val="24"/>
          <w:szCs w:val="24"/>
          <w:lang w:val="en-GB"/>
        </w:rPr>
        <w:t>Saxony-</w:t>
      </w:r>
      <w:r w:rsidR="00212267" w:rsidRPr="00CE66BE">
        <w:rPr>
          <w:rFonts w:cstheme="minorHAnsi"/>
          <w:sz w:val="24"/>
          <w:szCs w:val="24"/>
          <w:lang w:val="en-GB"/>
        </w:rPr>
        <w:t xml:space="preserve">Anhalt </w:t>
      </w:r>
      <w:r w:rsidR="00826BAF" w:rsidRPr="00CE66BE">
        <w:rPr>
          <w:rFonts w:cstheme="minorHAnsi"/>
          <w:sz w:val="24"/>
          <w:szCs w:val="24"/>
          <w:lang w:val="en-GB"/>
        </w:rPr>
        <w:t xml:space="preserve">(Germany) </w:t>
      </w:r>
      <w:r w:rsidR="00212267" w:rsidRPr="00CE66BE">
        <w:rPr>
          <w:rFonts w:cstheme="minorHAnsi"/>
          <w:sz w:val="24"/>
          <w:szCs w:val="24"/>
          <w:lang w:val="en-GB"/>
        </w:rPr>
        <w:t>and Finland were the registries with the highest survival estimates</w:t>
      </w:r>
      <w:r w:rsidR="002A4B7E" w:rsidRPr="00CE66BE">
        <w:rPr>
          <w:rFonts w:cstheme="minorHAnsi"/>
          <w:sz w:val="24"/>
          <w:szCs w:val="24"/>
          <w:lang w:val="en-GB"/>
        </w:rPr>
        <w:t xml:space="preserve"> at 5 years</w:t>
      </w:r>
      <w:proofErr w:type="gramStart"/>
      <w:r w:rsidR="00212267" w:rsidRPr="00CE66BE">
        <w:rPr>
          <w:rFonts w:cstheme="minorHAnsi"/>
          <w:sz w:val="24"/>
          <w:szCs w:val="24"/>
          <w:lang w:val="en-GB"/>
        </w:rPr>
        <w:t>..</w:t>
      </w:r>
      <w:proofErr w:type="gramEnd"/>
      <w:r w:rsidR="00212267" w:rsidRPr="00CE66BE">
        <w:rPr>
          <w:rFonts w:cstheme="minorHAnsi"/>
          <w:sz w:val="24"/>
          <w:szCs w:val="24"/>
          <w:lang w:val="en-GB"/>
        </w:rPr>
        <w:t xml:space="preserve"> The lowest survival was observed for </w:t>
      </w:r>
      <w:r w:rsidR="00826BAF" w:rsidRPr="00CE66BE">
        <w:rPr>
          <w:rFonts w:cstheme="minorHAnsi"/>
          <w:sz w:val="24"/>
          <w:szCs w:val="24"/>
          <w:lang w:val="en-GB"/>
        </w:rPr>
        <w:t>OMNI-Net (</w:t>
      </w:r>
      <w:r w:rsidR="00212267" w:rsidRPr="00CE66BE">
        <w:rPr>
          <w:rFonts w:cstheme="minorHAnsi"/>
          <w:sz w:val="24"/>
          <w:szCs w:val="24"/>
          <w:lang w:val="en-GB"/>
        </w:rPr>
        <w:t>Ukraine</w:t>
      </w:r>
      <w:r w:rsidR="00826BAF" w:rsidRPr="00CE66BE">
        <w:rPr>
          <w:rFonts w:cstheme="minorHAnsi"/>
          <w:sz w:val="24"/>
          <w:szCs w:val="24"/>
          <w:lang w:val="en-GB"/>
        </w:rPr>
        <w:t>)</w:t>
      </w:r>
      <w:r w:rsidR="00212267" w:rsidRPr="00CE66BE">
        <w:rPr>
          <w:rFonts w:cstheme="minorHAnsi"/>
          <w:sz w:val="24"/>
          <w:szCs w:val="24"/>
          <w:lang w:val="en-GB"/>
        </w:rPr>
        <w:t xml:space="preserve"> (87</w:t>
      </w:r>
      <w:r w:rsidR="007D5D82" w:rsidRPr="00CE66BE">
        <w:rPr>
          <w:rFonts w:cstheme="minorHAnsi"/>
          <w:sz w:val="24"/>
          <w:szCs w:val="24"/>
          <w:lang w:val="en-GB"/>
        </w:rPr>
        <w:t>.</w:t>
      </w:r>
      <w:r w:rsidR="00212267" w:rsidRPr="00CE66BE">
        <w:rPr>
          <w:rFonts w:cstheme="minorHAnsi"/>
          <w:sz w:val="24"/>
          <w:szCs w:val="24"/>
          <w:lang w:val="en-GB"/>
        </w:rPr>
        <w:t>0</w:t>
      </w:r>
      <w:r w:rsidR="002719E9" w:rsidRPr="00CE66BE">
        <w:rPr>
          <w:rFonts w:cstheme="minorHAnsi"/>
          <w:sz w:val="24"/>
          <w:szCs w:val="24"/>
          <w:lang w:val="en-GB"/>
        </w:rPr>
        <w:t>%</w:t>
      </w:r>
      <w:r w:rsidR="00394FB5">
        <w:rPr>
          <w:rFonts w:cstheme="minorHAnsi"/>
          <w:sz w:val="24"/>
          <w:szCs w:val="24"/>
          <w:lang w:val="en-GB"/>
        </w:rPr>
        <w:t>, 95% CI</w:t>
      </w:r>
      <w:r w:rsidR="007D5D82" w:rsidRPr="00CE66BE">
        <w:rPr>
          <w:rFonts w:cstheme="minorHAnsi"/>
          <w:sz w:val="24"/>
          <w:szCs w:val="24"/>
          <w:lang w:val="en-GB"/>
        </w:rPr>
        <w:t xml:space="preserve"> </w:t>
      </w:r>
      <w:r w:rsidR="00212267" w:rsidRPr="00CE66BE">
        <w:rPr>
          <w:rFonts w:cstheme="minorHAnsi"/>
          <w:sz w:val="24"/>
          <w:szCs w:val="24"/>
          <w:lang w:val="en-GB"/>
        </w:rPr>
        <w:t>86</w:t>
      </w:r>
      <w:r w:rsidR="007D5D82" w:rsidRPr="00CE66BE">
        <w:rPr>
          <w:rFonts w:cstheme="minorHAnsi"/>
          <w:sz w:val="24"/>
          <w:szCs w:val="24"/>
          <w:lang w:val="en-GB"/>
        </w:rPr>
        <w:t>.</w:t>
      </w:r>
      <w:r w:rsidR="00212267" w:rsidRPr="00CE66BE">
        <w:rPr>
          <w:rFonts w:cstheme="minorHAnsi"/>
          <w:sz w:val="24"/>
          <w:szCs w:val="24"/>
          <w:lang w:val="en-GB"/>
        </w:rPr>
        <w:t>1</w:t>
      </w:r>
      <w:r w:rsidR="00394FB5">
        <w:rPr>
          <w:rFonts w:cstheme="minorHAnsi"/>
          <w:sz w:val="24"/>
          <w:szCs w:val="24"/>
          <w:lang w:val="en-GB"/>
        </w:rPr>
        <w:t xml:space="preserve">, </w:t>
      </w:r>
      <w:r w:rsidR="00212267" w:rsidRPr="00CE66BE">
        <w:rPr>
          <w:rFonts w:cstheme="minorHAnsi"/>
          <w:sz w:val="24"/>
          <w:szCs w:val="24"/>
          <w:lang w:val="en-GB"/>
        </w:rPr>
        <w:t>87</w:t>
      </w:r>
      <w:r w:rsidR="007D5D82" w:rsidRPr="00CE66BE">
        <w:rPr>
          <w:rFonts w:cstheme="minorHAnsi"/>
          <w:sz w:val="24"/>
          <w:szCs w:val="24"/>
          <w:lang w:val="en-GB"/>
        </w:rPr>
        <w:t>.</w:t>
      </w:r>
      <w:r w:rsidR="00212267" w:rsidRPr="00CE66BE">
        <w:rPr>
          <w:rFonts w:cstheme="minorHAnsi"/>
          <w:sz w:val="24"/>
          <w:szCs w:val="24"/>
          <w:lang w:val="en-GB"/>
        </w:rPr>
        <w:t>9) and Malta (90</w:t>
      </w:r>
      <w:r w:rsidR="007D5D82" w:rsidRPr="00CE66BE">
        <w:rPr>
          <w:rFonts w:cstheme="minorHAnsi"/>
          <w:sz w:val="24"/>
          <w:szCs w:val="24"/>
          <w:lang w:val="en-GB"/>
        </w:rPr>
        <w:t>.</w:t>
      </w:r>
      <w:r w:rsidR="00C27AA2" w:rsidRPr="00CE66BE">
        <w:rPr>
          <w:rFonts w:cstheme="minorHAnsi"/>
          <w:sz w:val="24"/>
          <w:szCs w:val="24"/>
          <w:lang w:val="en-GB"/>
        </w:rPr>
        <w:t>6</w:t>
      </w:r>
      <w:r w:rsidR="00394FB5">
        <w:rPr>
          <w:rFonts w:cstheme="minorHAnsi"/>
          <w:sz w:val="24"/>
          <w:szCs w:val="24"/>
          <w:lang w:val="en-GB"/>
        </w:rPr>
        <w:t>%,</w:t>
      </w:r>
      <w:r w:rsidR="00212267" w:rsidRPr="00CE66BE">
        <w:rPr>
          <w:rFonts w:cstheme="minorHAnsi"/>
          <w:sz w:val="24"/>
          <w:szCs w:val="24"/>
          <w:lang w:val="en-GB"/>
        </w:rPr>
        <w:t xml:space="preserve"> </w:t>
      </w:r>
      <w:r w:rsidR="007D5D82" w:rsidRPr="00CE66BE">
        <w:rPr>
          <w:rFonts w:cstheme="minorHAnsi"/>
          <w:sz w:val="24"/>
          <w:szCs w:val="24"/>
          <w:lang w:val="en-GB"/>
        </w:rPr>
        <w:t xml:space="preserve">95% CI </w:t>
      </w:r>
      <w:r w:rsidR="00212267" w:rsidRPr="00CE66BE">
        <w:rPr>
          <w:rFonts w:cstheme="minorHAnsi"/>
          <w:sz w:val="24"/>
          <w:szCs w:val="24"/>
          <w:lang w:val="en-GB"/>
        </w:rPr>
        <w:t>88</w:t>
      </w:r>
      <w:r w:rsidR="007D5D82" w:rsidRPr="00CE66BE">
        <w:rPr>
          <w:rFonts w:cstheme="minorHAnsi"/>
          <w:sz w:val="24"/>
          <w:szCs w:val="24"/>
          <w:lang w:val="en-GB"/>
        </w:rPr>
        <w:t>.</w:t>
      </w:r>
      <w:r w:rsidR="00212267" w:rsidRPr="00CE66BE">
        <w:rPr>
          <w:rFonts w:cstheme="minorHAnsi"/>
          <w:sz w:val="24"/>
          <w:szCs w:val="24"/>
          <w:lang w:val="en-GB"/>
        </w:rPr>
        <w:t>7</w:t>
      </w:r>
      <w:r w:rsidR="00394FB5">
        <w:rPr>
          <w:rFonts w:cstheme="minorHAnsi"/>
          <w:sz w:val="24"/>
          <w:szCs w:val="24"/>
          <w:lang w:val="en-GB"/>
        </w:rPr>
        <w:t xml:space="preserve">, </w:t>
      </w:r>
      <w:r w:rsidR="00212267" w:rsidRPr="00CE66BE">
        <w:rPr>
          <w:rFonts w:cstheme="minorHAnsi"/>
          <w:sz w:val="24"/>
          <w:szCs w:val="24"/>
          <w:lang w:val="en-GB"/>
        </w:rPr>
        <w:t>92</w:t>
      </w:r>
      <w:r w:rsidR="007D5D82" w:rsidRPr="00CE66BE">
        <w:rPr>
          <w:rFonts w:cstheme="minorHAnsi"/>
          <w:sz w:val="24"/>
          <w:szCs w:val="24"/>
          <w:lang w:val="en-GB"/>
        </w:rPr>
        <w:t>.</w:t>
      </w:r>
      <w:r w:rsidR="00212267" w:rsidRPr="00CE66BE">
        <w:rPr>
          <w:rFonts w:cstheme="minorHAnsi"/>
          <w:sz w:val="24"/>
          <w:szCs w:val="24"/>
          <w:lang w:val="en-GB"/>
        </w:rPr>
        <w:t>1)</w:t>
      </w:r>
      <w:r w:rsidR="00E66A76" w:rsidRPr="00CE66BE">
        <w:rPr>
          <w:rFonts w:cstheme="minorHAnsi"/>
          <w:sz w:val="24"/>
          <w:szCs w:val="24"/>
          <w:lang w:val="en-GB"/>
        </w:rPr>
        <w:t xml:space="preserve">, </w:t>
      </w:r>
      <w:r w:rsidR="00BF310B" w:rsidRPr="00CE66BE">
        <w:rPr>
          <w:rFonts w:cstheme="minorHAnsi"/>
          <w:sz w:val="24"/>
          <w:szCs w:val="24"/>
          <w:lang w:val="en-GB"/>
        </w:rPr>
        <w:t xml:space="preserve">followed by the </w:t>
      </w:r>
      <w:r w:rsidR="00FE2B77" w:rsidRPr="00CE66BE">
        <w:rPr>
          <w:rFonts w:cstheme="minorHAnsi"/>
          <w:sz w:val="24"/>
          <w:szCs w:val="24"/>
          <w:lang w:val="en-GB"/>
        </w:rPr>
        <w:t>three English registries (</w:t>
      </w:r>
      <w:r w:rsidR="008F299D" w:rsidRPr="00CE66BE">
        <w:rPr>
          <w:rFonts w:cstheme="minorHAnsi"/>
          <w:sz w:val="24"/>
          <w:szCs w:val="24"/>
          <w:lang w:val="en-GB"/>
        </w:rPr>
        <w:t xml:space="preserve">i.e. </w:t>
      </w:r>
      <w:r w:rsidR="00FE2B77" w:rsidRPr="00CE66BE">
        <w:rPr>
          <w:rFonts w:cstheme="minorHAnsi"/>
          <w:sz w:val="24"/>
          <w:szCs w:val="24"/>
          <w:lang w:val="en-GB"/>
        </w:rPr>
        <w:t>Wessex, Thames Valley</w:t>
      </w:r>
      <w:r w:rsidR="00BF310B" w:rsidRPr="00CE66BE">
        <w:rPr>
          <w:rFonts w:cstheme="minorHAnsi"/>
          <w:sz w:val="24"/>
          <w:szCs w:val="24"/>
          <w:lang w:val="en-GB"/>
        </w:rPr>
        <w:t>,</w:t>
      </w:r>
      <w:r w:rsidR="00FE2B77" w:rsidRPr="00CE66BE">
        <w:rPr>
          <w:rFonts w:cstheme="minorHAnsi"/>
          <w:sz w:val="24"/>
          <w:szCs w:val="24"/>
          <w:lang w:val="en-GB"/>
        </w:rPr>
        <w:t xml:space="preserve"> and </w:t>
      </w:r>
      <w:r w:rsidR="004D1456" w:rsidRPr="00CE66BE">
        <w:rPr>
          <w:rFonts w:cstheme="minorHAnsi"/>
          <w:sz w:val="24"/>
          <w:szCs w:val="24"/>
          <w:lang w:val="en-GB"/>
        </w:rPr>
        <w:t>E</w:t>
      </w:r>
      <w:r w:rsidR="00A60720" w:rsidRPr="00CE66BE">
        <w:rPr>
          <w:rFonts w:cstheme="minorHAnsi"/>
          <w:sz w:val="24"/>
          <w:szCs w:val="24"/>
          <w:lang w:val="en-GB"/>
        </w:rPr>
        <w:t>ast Midlands and South Yorkshire)</w:t>
      </w:r>
      <w:r w:rsidR="00FE2B77" w:rsidRPr="00CE66BE">
        <w:rPr>
          <w:rFonts w:cstheme="minorHAnsi"/>
          <w:sz w:val="24"/>
          <w:szCs w:val="24"/>
          <w:lang w:val="en-GB"/>
        </w:rPr>
        <w:t>.</w:t>
      </w:r>
      <w:r w:rsidR="008F299D" w:rsidRPr="00CE66BE">
        <w:rPr>
          <w:rFonts w:cstheme="minorHAnsi"/>
          <w:sz w:val="24"/>
          <w:szCs w:val="24"/>
          <w:lang w:val="en-GB"/>
        </w:rPr>
        <w:t xml:space="preserve"> </w:t>
      </w:r>
      <w:r w:rsidR="00FD2CE7" w:rsidRPr="00CE66BE">
        <w:rPr>
          <w:rFonts w:cstheme="minorHAnsi"/>
          <w:sz w:val="24"/>
          <w:szCs w:val="24"/>
          <w:lang w:val="en-GB"/>
        </w:rPr>
        <w:t xml:space="preserve">The survival rates for the other </w:t>
      </w:r>
      <w:r w:rsidR="008F299D" w:rsidRPr="00CE66BE">
        <w:rPr>
          <w:rFonts w:cstheme="minorHAnsi"/>
          <w:sz w:val="24"/>
          <w:szCs w:val="24"/>
          <w:lang w:val="en-GB"/>
        </w:rPr>
        <w:t xml:space="preserve">registries </w:t>
      </w:r>
      <w:r w:rsidR="00FE521F" w:rsidRPr="00CE66BE">
        <w:rPr>
          <w:rFonts w:cstheme="minorHAnsi"/>
          <w:sz w:val="24"/>
          <w:szCs w:val="24"/>
          <w:lang w:val="en-GB"/>
        </w:rPr>
        <w:t>were</w:t>
      </w:r>
      <w:r w:rsidR="008F299D" w:rsidRPr="00CE66BE">
        <w:rPr>
          <w:rFonts w:cstheme="minorHAnsi"/>
          <w:sz w:val="24"/>
          <w:szCs w:val="24"/>
          <w:lang w:val="en-GB"/>
        </w:rPr>
        <w:t xml:space="preserve"> </w:t>
      </w:r>
      <w:r w:rsidR="00340127" w:rsidRPr="00CE66BE">
        <w:rPr>
          <w:rFonts w:cstheme="minorHAnsi"/>
          <w:sz w:val="24"/>
          <w:szCs w:val="24"/>
          <w:lang w:val="en-GB"/>
        </w:rPr>
        <w:t>relatively similar</w:t>
      </w:r>
      <w:r w:rsidR="00D55C03" w:rsidRPr="00CE66BE">
        <w:rPr>
          <w:rFonts w:cstheme="minorHAnsi"/>
          <w:sz w:val="24"/>
          <w:szCs w:val="24"/>
          <w:lang w:val="en-GB"/>
        </w:rPr>
        <w:t xml:space="preserve"> </w:t>
      </w:r>
      <w:r w:rsidR="0022089B" w:rsidRPr="00CE66BE">
        <w:rPr>
          <w:rFonts w:cstheme="minorHAnsi"/>
          <w:sz w:val="24"/>
          <w:szCs w:val="24"/>
          <w:lang w:val="en-GB"/>
        </w:rPr>
        <w:t>varying</w:t>
      </w:r>
      <w:r w:rsidR="00D55C03" w:rsidRPr="00CE66BE">
        <w:rPr>
          <w:rFonts w:cstheme="minorHAnsi"/>
          <w:sz w:val="24"/>
          <w:szCs w:val="24"/>
          <w:lang w:val="en-GB"/>
        </w:rPr>
        <w:t xml:space="preserve"> within a difference of 3%</w:t>
      </w:r>
      <w:r w:rsidR="00340127" w:rsidRPr="00CE66BE">
        <w:rPr>
          <w:rFonts w:cstheme="minorHAnsi"/>
          <w:sz w:val="24"/>
          <w:szCs w:val="24"/>
          <w:lang w:val="en-GB"/>
        </w:rPr>
        <w:t>.</w:t>
      </w:r>
      <w:r w:rsidR="002719E9" w:rsidRPr="00CE66BE">
        <w:rPr>
          <w:rFonts w:cstheme="minorHAnsi"/>
          <w:sz w:val="24"/>
          <w:szCs w:val="24"/>
          <w:lang w:val="en-GB"/>
        </w:rPr>
        <w:t xml:space="preserve"> </w:t>
      </w:r>
    </w:p>
    <w:p w14:paraId="7B748125" w14:textId="5529F59A" w:rsidR="0088257F" w:rsidRPr="00CE66BE" w:rsidRDefault="0068442C" w:rsidP="00754F3C">
      <w:pPr>
        <w:spacing w:after="0" w:line="480" w:lineRule="auto"/>
        <w:rPr>
          <w:rFonts w:cstheme="minorHAnsi"/>
          <w:sz w:val="24"/>
          <w:szCs w:val="24"/>
          <w:lang w:val="en-GB"/>
        </w:rPr>
      </w:pPr>
      <w:r w:rsidRPr="00CE66BE">
        <w:rPr>
          <w:rFonts w:cstheme="minorHAnsi"/>
          <w:sz w:val="24"/>
          <w:szCs w:val="24"/>
          <w:lang w:val="en-GB"/>
        </w:rPr>
        <w:t>F</w:t>
      </w:r>
      <w:r w:rsidR="00340127" w:rsidRPr="00CE66BE">
        <w:rPr>
          <w:rFonts w:cstheme="minorHAnsi"/>
          <w:sz w:val="24"/>
          <w:szCs w:val="24"/>
          <w:lang w:val="en-GB"/>
        </w:rPr>
        <w:t>or</w:t>
      </w:r>
      <w:r w:rsidR="00B87390" w:rsidRPr="00CE66BE">
        <w:rPr>
          <w:rFonts w:cstheme="minorHAnsi"/>
          <w:sz w:val="24"/>
          <w:szCs w:val="24"/>
          <w:lang w:val="en-GB"/>
        </w:rPr>
        <w:t xml:space="preserve"> isolated</w:t>
      </w:r>
      <w:r w:rsidR="00767FA6" w:rsidRPr="00CE66BE">
        <w:rPr>
          <w:rFonts w:cstheme="minorHAnsi"/>
          <w:sz w:val="24"/>
          <w:szCs w:val="24"/>
          <w:lang w:val="en-GB"/>
        </w:rPr>
        <w:t xml:space="preserve"> severe</w:t>
      </w:r>
      <w:r w:rsidR="00B87390" w:rsidRPr="00CE66BE">
        <w:rPr>
          <w:rFonts w:cstheme="minorHAnsi"/>
          <w:sz w:val="24"/>
          <w:szCs w:val="24"/>
          <w:lang w:val="en-GB"/>
        </w:rPr>
        <w:t xml:space="preserve"> CHD</w:t>
      </w:r>
      <w:r w:rsidR="0088257F" w:rsidRPr="00CE66BE">
        <w:rPr>
          <w:rFonts w:cstheme="minorHAnsi"/>
          <w:sz w:val="24"/>
          <w:szCs w:val="24"/>
          <w:lang w:val="en-GB"/>
        </w:rPr>
        <w:t>,</w:t>
      </w:r>
      <w:r w:rsidR="000E1ED1" w:rsidRPr="00CE66BE">
        <w:rPr>
          <w:rFonts w:cstheme="minorHAnsi"/>
          <w:sz w:val="24"/>
          <w:szCs w:val="24"/>
          <w:lang w:val="en-GB"/>
        </w:rPr>
        <w:t xml:space="preserve"> the heterogeneity </w:t>
      </w:r>
      <w:r w:rsidR="002719E9" w:rsidRPr="00CE66BE">
        <w:rPr>
          <w:rFonts w:cstheme="minorHAnsi"/>
          <w:sz w:val="24"/>
          <w:szCs w:val="24"/>
          <w:lang w:val="en-GB"/>
        </w:rPr>
        <w:t xml:space="preserve">at 28 days and 5 years of age </w:t>
      </w:r>
      <w:r w:rsidR="00F606EE" w:rsidRPr="00CE66BE">
        <w:rPr>
          <w:rFonts w:cstheme="minorHAnsi"/>
          <w:sz w:val="24"/>
          <w:szCs w:val="24"/>
          <w:lang w:val="en-GB"/>
        </w:rPr>
        <w:t>was</w:t>
      </w:r>
      <w:r w:rsidR="000E1ED1" w:rsidRPr="00CE66BE">
        <w:rPr>
          <w:rFonts w:cstheme="minorHAnsi"/>
          <w:sz w:val="24"/>
          <w:szCs w:val="24"/>
          <w:lang w:val="en-GB"/>
        </w:rPr>
        <w:t xml:space="preserve"> high (I</w:t>
      </w:r>
      <w:r w:rsidR="000E1ED1" w:rsidRPr="00CE66BE">
        <w:rPr>
          <w:rFonts w:cstheme="minorHAnsi"/>
          <w:sz w:val="24"/>
          <w:szCs w:val="24"/>
          <w:vertAlign w:val="superscript"/>
          <w:lang w:val="en-GB"/>
        </w:rPr>
        <w:t>2</w:t>
      </w:r>
      <w:r w:rsidR="000E1ED1" w:rsidRPr="00CE66BE">
        <w:rPr>
          <w:rFonts w:cstheme="minorHAnsi"/>
          <w:sz w:val="24"/>
          <w:szCs w:val="24"/>
          <w:lang w:val="en-GB"/>
        </w:rPr>
        <w:t>= 93.4%, and 95.6%, respectively)</w:t>
      </w:r>
      <w:r w:rsidR="00FE2B77" w:rsidRPr="00CE66BE">
        <w:rPr>
          <w:rFonts w:cstheme="minorHAnsi"/>
          <w:sz w:val="24"/>
          <w:szCs w:val="24"/>
          <w:lang w:val="en-GB"/>
        </w:rPr>
        <w:t>.</w:t>
      </w:r>
      <w:r w:rsidR="00C156C9" w:rsidRPr="00CE66BE">
        <w:rPr>
          <w:rFonts w:cstheme="minorHAnsi"/>
          <w:sz w:val="24"/>
          <w:szCs w:val="24"/>
          <w:lang w:val="en-GB"/>
        </w:rPr>
        <w:t xml:space="preserve"> At 5 years of age, </w:t>
      </w:r>
      <w:r w:rsidR="00826BAF" w:rsidRPr="00CE66BE">
        <w:rPr>
          <w:rFonts w:cstheme="minorHAnsi"/>
          <w:sz w:val="24"/>
          <w:szCs w:val="24"/>
          <w:lang w:val="en-GB"/>
        </w:rPr>
        <w:t>OMNI-Net (</w:t>
      </w:r>
      <w:r w:rsidR="00FE2B77" w:rsidRPr="00CE66BE">
        <w:rPr>
          <w:rFonts w:cstheme="minorHAnsi"/>
          <w:sz w:val="24"/>
          <w:szCs w:val="24"/>
          <w:lang w:val="en-GB"/>
        </w:rPr>
        <w:t>Ukraine</w:t>
      </w:r>
      <w:r w:rsidR="00826BAF" w:rsidRPr="00CE66BE">
        <w:rPr>
          <w:rFonts w:cstheme="minorHAnsi"/>
          <w:sz w:val="24"/>
          <w:szCs w:val="24"/>
          <w:lang w:val="en-GB"/>
        </w:rPr>
        <w:t>)</w:t>
      </w:r>
      <w:r w:rsidR="00FE2B77" w:rsidRPr="00CE66BE">
        <w:rPr>
          <w:rFonts w:cstheme="minorHAnsi"/>
          <w:sz w:val="24"/>
          <w:szCs w:val="24"/>
          <w:lang w:val="en-GB"/>
        </w:rPr>
        <w:t xml:space="preserve"> was the registry with the lowest survival </w:t>
      </w:r>
      <w:r w:rsidR="00A60720" w:rsidRPr="00CE66BE">
        <w:rPr>
          <w:rFonts w:cstheme="minorHAnsi"/>
          <w:sz w:val="24"/>
          <w:szCs w:val="24"/>
          <w:lang w:val="en-GB"/>
        </w:rPr>
        <w:t>(</w:t>
      </w:r>
      <w:r w:rsidR="00FE2B77" w:rsidRPr="00CE66BE">
        <w:rPr>
          <w:rFonts w:cstheme="minorHAnsi"/>
          <w:sz w:val="24"/>
          <w:szCs w:val="24"/>
          <w:lang w:val="en-GB"/>
        </w:rPr>
        <w:t>57</w:t>
      </w:r>
      <w:r w:rsidR="007D5D82" w:rsidRPr="00CE66BE">
        <w:rPr>
          <w:rFonts w:cstheme="minorHAnsi"/>
          <w:sz w:val="24"/>
          <w:szCs w:val="24"/>
          <w:lang w:val="en-GB"/>
        </w:rPr>
        <w:t>.</w:t>
      </w:r>
      <w:r w:rsidR="00FE2B77" w:rsidRPr="00CE66BE">
        <w:rPr>
          <w:rFonts w:cstheme="minorHAnsi"/>
          <w:sz w:val="24"/>
          <w:szCs w:val="24"/>
          <w:lang w:val="en-GB"/>
        </w:rPr>
        <w:t>4</w:t>
      </w:r>
      <w:r w:rsidR="007D5D82" w:rsidRPr="00CE66BE">
        <w:rPr>
          <w:rFonts w:cstheme="minorHAnsi"/>
          <w:sz w:val="24"/>
          <w:szCs w:val="24"/>
          <w:lang w:val="en-GB"/>
        </w:rPr>
        <w:t>%</w:t>
      </w:r>
      <w:r w:rsidR="00394FB5">
        <w:rPr>
          <w:rFonts w:cstheme="minorHAnsi"/>
          <w:sz w:val="24"/>
          <w:szCs w:val="24"/>
          <w:lang w:val="en-GB"/>
        </w:rPr>
        <w:t>,</w:t>
      </w:r>
      <w:r w:rsidR="00FE2B77" w:rsidRPr="00CE66BE">
        <w:rPr>
          <w:rFonts w:cstheme="minorHAnsi"/>
          <w:sz w:val="24"/>
          <w:szCs w:val="24"/>
          <w:lang w:val="en-GB"/>
        </w:rPr>
        <w:t xml:space="preserve"> </w:t>
      </w:r>
      <w:r w:rsidR="00F66BAB" w:rsidRPr="00CE66BE">
        <w:rPr>
          <w:rFonts w:cstheme="minorHAnsi"/>
          <w:sz w:val="24"/>
          <w:szCs w:val="24"/>
          <w:lang w:val="en-GB"/>
        </w:rPr>
        <w:t>95%</w:t>
      </w:r>
      <w:r w:rsidR="00BE4B72" w:rsidRPr="00CE66BE">
        <w:rPr>
          <w:rFonts w:cstheme="minorHAnsi"/>
          <w:sz w:val="24"/>
          <w:szCs w:val="24"/>
          <w:lang w:val="en-GB"/>
        </w:rPr>
        <w:t xml:space="preserve"> </w:t>
      </w:r>
      <w:r w:rsidR="007D5D82" w:rsidRPr="00CE66BE">
        <w:rPr>
          <w:rFonts w:cstheme="minorHAnsi"/>
          <w:sz w:val="24"/>
          <w:szCs w:val="24"/>
          <w:lang w:val="en-GB"/>
        </w:rPr>
        <w:t xml:space="preserve">CI </w:t>
      </w:r>
      <w:r w:rsidR="00FE2B77" w:rsidRPr="00CE66BE">
        <w:rPr>
          <w:rFonts w:cstheme="minorHAnsi"/>
          <w:sz w:val="24"/>
          <w:szCs w:val="24"/>
          <w:lang w:val="en-GB"/>
        </w:rPr>
        <w:t>52</w:t>
      </w:r>
      <w:r w:rsidR="007D5D82" w:rsidRPr="00CE66BE">
        <w:rPr>
          <w:rFonts w:cstheme="minorHAnsi"/>
          <w:sz w:val="24"/>
          <w:szCs w:val="24"/>
          <w:lang w:val="en-GB"/>
        </w:rPr>
        <w:t>.</w:t>
      </w:r>
      <w:r w:rsidR="00FE2B77" w:rsidRPr="00CE66BE">
        <w:rPr>
          <w:rFonts w:cstheme="minorHAnsi"/>
          <w:sz w:val="24"/>
          <w:szCs w:val="24"/>
          <w:lang w:val="en-GB"/>
        </w:rPr>
        <w:t>1</w:t>
      </w:r>
      <w:r w:rsidR="00BE3662">
        <w:rPr>
          <w:rFonts w:cstheme="minorHAnsi"/>
          <w:sz w:val="24"/>
          <w:szCs w:val="24"/>
          <w:lang w:val="en-GB"/>
        </w:rPr>
        <w:t xml:space="preserve">, </w:t>
      </w:r>
      <w:proofErr w:type="gramStart"/>
      <w:r w:rsidR="00FE2B77" w:rsidRPr="00CE66BE">
        <w:rPr>
          <w:rFonts w:cstheme="minorHAnsi"/>
          <w:sz w:val="24"/>
          <w:szCs w:val="24"/>
          <w:lang w:val="en-GB"/>
        </w:rPr>
        <w:t>62</w:t>
      </w:r>
      <w:r w:rsidR="007D5D82" w:rsidRPr="00CE66BE">
        <w:rPr>
          <w:rFonts w:cstheme="minorHAnsi"/>
          <w:sz w:val="24"/>
          <w:szCs w:val="24"/>
          <w:lang w:val="en-GB"/>
        </w:rPr>
        <w:t>.</w:t>
      </w:r>
      <w:r w:rsidR="00FE2B77" w:rsidRPr="00CE66BE">
        <w:rPr>
          <w:rFonts w:cstheme="minorHAnsi"/>
          <w:sz w:val="24"/>
          <w:szCs w:val="24"/>
          <w:lang w:val="en-GB"/>
        </w:rPr>
        <w:t>4</w:t>
      </w:r>
      <w:proofErr w:type="gramEnd"/>
      <w:r w:rsidR="00FE2B77" w:rsidRPr="00CE66BE">
        <w:rPr>
          <w:rFonts w:cstheme="minorHAnsi"/>
          <w:sz w:val="24"/>
          <w:szCs w:val="24"/>
          <w:lang w:val="en-GB"/>
        </w:rPr>
        <w:t>)</w:t>
      </w:r>
      <w:r w:rsidR="00340127" w:rsidRPr="00CE66BE">
        <w:rPr>
          <w:rFonts w:cstheme="minorHAnsi"/>
          <w:sz w:val="24"/>
          <w:szCs w:val="24"/>
          <w:lang w:val="en-GB"/>
        </w:rPr>
        <w:t xml:space="preserve">, while </w:t>
      </w:r>
      <w:r w:rsidR="00E26C00" w:rsidRPr="00CE66BE">
        <w:rPr>
          <w:rFonts w:cstheme="minorHAnsi"/>
          <w:sz w:val="24"/>
          <w:szCs w:val="24"/>
          <w:lang w:val="en-GB"/>
        </w:rPr>
        <w:t>Saxony-</w:t>
      </w:r>
      <w:r w:rsidR="00FE2B77" w:rsidRPr="00CE66BE">
        <w:rPr>
          <w:rFonts w:cstheme="minorHAnsi"/>
          <w:sz w:val="24"/>
          <w:szCs w:val="24"/>
          <w:lang w:val="en-GB"/>
        </w:rPr>
        <w:t>Anhalt</w:t>
      </w:r>
      <w:r w:rsidR="00826BAF" w:rsidRPr="00CE66BE">
        <w:rPr>
          <w:rFonts w:cstheme="minorHAnsi"/>
          <w:sz w:val="24"/>
          <w:szCs w:val="24"/>
          <w:lang w:val="en-GB"/>
        </w:rPr>
        <w:t xml:space="preserve"> (Germany)</w:t>
      </w:r>
      <w:r w:rsidR="00FE2B77" w:rsidRPr="00CE66BE">
        <w:rPr>
          <w:rFonts w:cstheme="minorHAnsi"/>
          <w:sz w:val="24"/>
          <w:szCs w:val="24"/>
          <w:lang w:val="en-GB"/>
        </w:rPr>
        <w:t xml:space="preserve"> and Finland </w:t>
      </w:r>
      <w:r w:rsidR="00340127" w:rsidRPr="00CE66BE">
        <w:rPr>
          <w:rFonts w:cstheme="minorHAnsi"/>
          <w:sz w:val="24"/>
          <w:szCs w:val="24"/>
          <w:lang w:val="en-GB"/>
        </w:rPr>
        <w:t>registries showed</w:t>
      </w:r>
      <w:r w:rsidR="00FE2B77" w:rsidRPr="00CE66BE">
        <w:rPr>
          <w:rFonts w:cstheme="minorHAnsi"/>
          <w:sz w:val="24"/>
          <w:szCs w:val="24"/>
          <w:lang w:val="en-GB"/>
        </w:rPr>
        <w:t xml:space="preserve"> the highest survival of</w:t>
      </w:r>
      <w:r w:rsidR="00340127" w:rsidRPr="00CE66BE">
        <w:rPr>
          <w:rFonts w:cstheme="minorHAnsi"/>
          <w:sz w:val="24"/>
          <w:szCs w:val="24"/>
          <w:lang w:val="en-GB"/>
        </w:rPr>
        <w:t xml:space="preserve"> children with</w:t>
      </w:r>
      <w:r w:rsidR="00FE2B77" w:rsidRPr="00CE66BE">
        <w:rPr>
          <w:rFonts w:cstheme="minorHAnsi"/>
          <w:sz w:val="24"/>
          <w:szCs w:val="24"/>
          <w:lang w:val="en-GB"/>
        </w:rPr>
        <w:t xml:space="preserve"> severe CHD. </w:t>
      </w:r>
    </w:p>
    <w:p w14:paraId="5F9A91AD" w14:textId="5964E48F" w:rsidR="00E82E26" w:rsidRPr="00CE66BE" w:rsidRDefault="00B3062E" w:rsidP="00754F3C">
      <w:pPr>
        <w:spacing w:after="0" w:line="480" w:lineRule="auto"/>
        <w:rPr>
          <w:rFonts w:cstheme="minorHAnsi"/>
          <w:sz w:val="24"/>
          <w:szCs w:val="24"/>
          <w:lang w:val="en-GB"/>
        </w:rPr>
      </w:pPr>
      <w:r w:rsidRPr="00CE66BE">
        <w:rPr>
          <w:rFonts w:cstheme="minorHAnsi"/>
          <w:sz w:val="24"/>
          <w:szCs w:val="24"/>
          <w:lang w:val="en-GB"/>
        </w:rPr>
        <w:t xml:space="preserve">Considering survival at 5 years of age </w:t>
      </w:r>
      <w:r w:rsidR="00E35D7A" w:rsidRPr="00CE66BE">
        <w:rPr>
          <w:rFonts w:cstheme="minorHAnsi"/>
          <w:sz w:val="24"/>
          <w:szCs w:val="24"/>
          <w:lang w:val="en-GB"/>
        </w:rPr>
        <w:t xml:space="preserve">for children with </w:t>
      </w:r>
      <w:r w:rsidRPr="00CE66BE">
        <w:rPr>
          <w:rFonts w:cstheme="minorHAnsi"/>
          <w:sz w:val="24"/>
          <w:szCs w:val="24"/>
          <w:lang w:val="en-GB"/>
        </w:rPr>
        <w:t xml:space="preserve">specific </w:t>
      </w:r>
      <w:r w:rsidR="00E35D7A" w:rsidRPr="00CE66BE">
        <w:rPr>
          <w:rFonts w:cstheme="minorHAnsi"/>
          <w:sz w:val="24"/>
          <w:szCs w:val="24"/>
          <w:lang w:val="en-GB"/>
        </w:rPr>
        <w:t xml:space="preserve">CA </w:t>
      </w:r>
      <w:r w:rsidRPr="00CE66BE">
        <w:rPr>
          <w:rFonts w:cstheme="minorHAnsi"/>
          <w:sz w:val="24"/>
          <w:szCs w:val="24"/>
          <w:lang w:val="en-GB"/>
        </w:rPr>
        <w:t>subgroups, such as isolated transposition of great vessels</w:t>
      </w:r>
      <w:r w:rsidR="00F8257D" w:rsidRPr="00CE66BE">
        <w:rPr>
          <w:rFonts w:cstheme="minorHAnsi"/>
          <w:sz w:val="24"/>
          <w:szCs w:val="24"/>
          <w:lang w:val="en-GB"/>
        </w:rPr>
        <w:t xml:space="preserve"> </w:t>
      </w:r>
      <w:r w:rsidR="0058178E" w:rsidRPr="00CE66BE">
        <w:rPr>
          <w:rFonts w:cstheme="minorHAnsi"/>
          <w:sz w:val="24"/>
          <w:szCs w:val="24"/>
          <w:lang w:val="en-GB"/>
        </w:rPr>
        <w:t>and</w:t>
      </w:r>
      <w:r w:rsidRPr="00CE66BE">
        <w:rPr>
          <w:rFonts w:cstheme="minorHAnsi"/>
          <w:sz w:val="24"/>
          <w:szCs w:val="24"/>
          <w:lang w:val="en-GB"/>
        </w:rPr>
        <w:t xml:space="preserve"> isolated diaphragmatic hernia, we observed, as expected, a lower precision of the estimates in some registries due to </w:t>
      </w:r>
      <w:r w:rsidR="00081668" w:rsidRPr="00CE66BE">
        <w:rPr>
          <w:rFonts w:cstheme="minorHAnsi"/>
          <w:sz w:val="24"/>
          <w:szCs w:val="24"/>
          <w:lang w:val="en-GB"/>
        </w:rPr>
        <w:t xml:space="preserve">the </w:t>
      </w:r>
      <w:r w:rsidRPr="00CE66BE">
        <w:rPr>
          <w:rFonts w:cstheme="minorHAnsi"/>
          <w:sz w:val="24"/>
          <w:szCs w:val="24"/>
          <w:lang w:val="en-GB"/>
        </w:rPr>
        <w:t>smaller numbers of events (</w:t>
      </w:r>
      <w:r w:rsidR="009F6775">
        <w:rPr>
          <w:rFonts w:cstheme="minorHAnsi"/>
          <w:sz w:val="24"/>
          <w:szCs w:val="24"/>
          <w:lang w:val="en-GB"/>
        </w:rPr>
        <w:t>Figure S2 in supplementary material</w:t>
      </w:r>
      <w:r w:rsidRPr="00CE66BE">
        <w:rPr>
          <w:rFonts w:cstheme="minorHAnsi"/>
          <w:sz w:val="24"/>
          <w:szCs w:val="24"/>
          <w:lang w:val="en-GB"/>
        </w:rPr>
        <w:t>)</w:t>
      </w:r>
      <w:r w:rsidR="00443A3E" w:rsidRPr="00CE66BE">
        <w:rPr>
          <w:rFonts w:cstheme="minorHAnsi"/>
          <w:sz w:val="24"/>
          <w:szCs w:val="24"/>
          <w:lang w:val="en-GB"/>
        </w:rPr>
        <w:t xml:space="preserve">. </w:t>
      </w:r>
    </w:p>
    <w:p w14:paraId="0D576382" w14:textId="62F3277C" w:rsidR="002E2FDD" w:rsidRPr="00CE66BE" w:rsidRDefault="00635777" w:rsidP="00754F3C">
      <w:pPr>
        <w:spacing w:after="0" w:line="480" w:lineRule="auto"/>
        <w:rPr>
          <w:rFonts w:cstheme="minorHAnsi"/>
          <w:sz w:val="24"/>
          <w:szCs w:val="24"/>
          <w:lang w:val="en-GB"/>
        </w:rPr>
      </w:pPr>
      <w:r w:rsidRPr="00CE66BE">
        <w:rPr>
          <w:rFonts w:cstheme="minorHAnsi"/>
          <w:sz w:val="24"/>
          <w:szCs w:val="24"/>
          <w:lang w:val="en-GB"/>
        </w:rPr>
        <w:t xml:space="preserve">Table </w:t>
      </w:r>
      <w:r w:rsidR="00C27AA2" w:rsidRPr="00CE66BE">
        <w:rPr>
          <w:rFonts w:cstheme="minorHAnsi"/>
          <w:sz w:val="24"/>
          <w:szCs w:val="24"/>
          <w:lang w:val="en-GB"/>
        </w:rPr>
        <w:t>4</w:t>
      </w:r>
      <w:r w:rsidRPr="00CE66BE">
        <w:rPr>
          <w:rFonts w:cstheme="minorHAnsi"/>
          <w:sz w:val="24"/>
          <w:szCs w:val="24"/>
          <w:lang w:val="en-GB"/>
        </w:rPr>
        <w:t xml:space="preserve"> shows </w:t>
      </w:r>
      <w:r w:rsidR="00AD57B7" w:rsidRPr="00CE66BE">
        <w:rPr>
          <w:rFonts w:cstheme="minorHAnsi"/>
          <w:sz w:val="24"/>
          <w:szCs w:val="24"/>
          <w:lang w:val="en-GB"/>
        </w:rPr>
        <w:t>t</w:t>
      </w:r>
      <w:r w:rsidR="002E2FDD" w:rsidRPr="00CE66BE">
        <w:rPr>
          <w:rFonts w:cstheme="minorHAnsi"/>
          <w:sz w:val="24"/>
          <w:szCs w:val="24"/>
          <w:lang w:val="en-GB"/>
        </w:rPr>
        <w:t>he infant mortality of children with CAs</w:t>
      </w:r>
      <w:r w:rsidRPr="00CE66BE">
        <w:rPr>
          <w:rFonts w:cstheme="minorHAnsi"/>
          <w:sz w:val="24"/>
          <w:szCs w:val="24"/>
          <w:lang w:val="en-GB"/>
        </w:rPr>
        <w:t xml:space="preserve"> expressed per 10,000 </w:t>
      </w:r>
      <w:r w:rsidR="00AD57B7" w:rsidRPr="00CE66BE">
        <w:rPr>
          <w:rFonts w:cstheme="minorHAnsi"/>
          <w:sz w:val="24"/>
          <w:szCs w:val="24"/>
          <w:lang w:val="en-GB"/>
        </w:rPr>
        <w:t>birth</w:t>
      </w:r>
      <w:r w:rsidRPr="00CE66BE">
        <w:rPr>
          <w:rFonts w:cstheme="minorHAnsi"/>
          <w:sz w:val="24"/>
          <w:szCs w:val="24"/>
          <w:lang w:val="en-GB"/>
        </w:rPr>
        <w:t>s</w:t>
      </w:r>
      <w:r w:rsidR="00AD57B7" w:rsidRPr="00CE66BE">
        <w:rPr>
          <w:rFonts w:cstheme="minorHAnsi"/>
          <w:sz w:val="24"/>
          <w:szCs w:val="24"/>
          <w:lang w:val="en-GB"/>
        </w:rPr>
        <w:t xml:space="preserve"> </w:t>
      </w:r>
      <w:r w:rsidRPr="00CE66BE">
        <w:rPr>
          <w:rFonts w:cstheme="minorHAnsi"/>
          <w:sz w:val="24"/>
          <w:szCs w:val="24"/>
          <w:lang w:val="en-GB"/>
        </w:rPr>
        <w:t xml:space="preserve">in the </w:t>
      </w:r>
      <w:r w:rsidR="00AC2C80" w:rsidRPr="00CE66BE">
        <w:rPr>
          <w:rFonts w:cstheme="minorHAnsi"/>
          <w:sz w:val="24"/>
          <w:szCs w:val="24"/>
          <w:lang w:val="en-GB"/>
        </w:rPr>
        <w:t xml:space="preserve">whole </w:t>
      </w:r>
      <w:r w:rsidR="00AD57B7" w:rsidRPr="00CE66BE">
        <w:rPr>
          <w:rFonts w:cstheme="minorHAnsi"/>
          <w:sz w:val="24"/>
          <w:szCs w:val="24"/>
          <w:lang w:val="en-GB"/>
        </w:rPr>
        <w:t>population</w:t>
      </w:r>
      <w:r w:rsidRPr="00CE66BE">
        <w:rPr>
          <w:rFonts w:cstheme="minorHAnsi"/>
          <w:sz w:val="24"/>
          <w:szCs w:val="24"/>
          <w:lang w:val="en-GB"/>
        </w:rPr>
        <w:t>. T</w:t>
      </w:r>
      <w:r w:rsidR="00AD57B7" w:rsidRPr="00CE66BE">
        <w:rPr>
          <w:rFonts w:cstheme="minorHAnsi"/>
          <w:sz w:val="24"/>
          <w:szCs w:val="24"/>
          <w:lang w:val="en-GB"/>
        </w:rPr>
        <w:t xml:space="preserve">he highest </w:t>
      </w:r>
      <w:r w:rsidRPr="00CE66BE">
        <w:rPr>
          <w:rFonts w:cstheme="minorHAnsi"/>
          <w:sz w:val="24"/>
          <w:szCs w:val="24"/>
          <w:lang w:val="en-GB"/>
        </w:rPr>
        <w:t xml:space="preserve">mortality rates were in </w:t>
      </w:r>
      <w:r w:rsidR="00AD57B7" w:rsidRPr="00CE66BE">
        <w:rPr>
          <w:rFonts w:cstheme="minorHAnsi"/>
          <w:sz w:val="24"/>
          <w:szCs w:val="24"/>
          <w:lang w:val="en-GB"/>
        </w:rPr>
        <w:t>Malta and OMNI-Net (Ukraine) (25.5 and 2</w:t>
      </w:r>
      <w:r w:rsidR="0091359C" w:rsidRPr="00CE66BE">
        <w:rPr>
          <w:rFonts w:cstheme="minorHAnsi"/>
          <w:sz w:val="24"/>
          <w:szCs w:val="24"/>
          <w:lang w:val="en-GB"/>
        </w:rPr>
        <w:t>2</w:t>
      </w:r>
      <w:r w:rsidR="00AD57B7" w:rsidRPr="00CE66BE">
        <w:rPr>
          <w:rFonts w:cstheme="minorHAnsi"/>
          <w:sz w:val="24"/>
          <w:szCs w:val="24"/>
          <w:lang w:val="en-GB"/>
        </w:rPr>
        <w:t xml:space="preserve">.3 per 10,000 live births, respectively). The lowest values were observed for Tuscany (Italy) and Saxony-Anhalt (Germany) </w:t>
      </w:r>
      <w:r w:rsidR="00A22EAA" w:rsidRPr="00CE66BE">
        <w:rPr>
          <w:rFonts w:cstheme="minorHAnsi"/>
          <w:sz w:val="24"/>
          <w:szCs w:val="24"/>
          <w:lang w:val="en-GB"/>
        </w:rPr>
        <w:t>(4.1 and 5.8 per 10,000</w:t>
      </w:r>
      <w:r w:rsidR="00AD57B7" w:rsidRPr="00CE66BE">
        <w:rPr>
          <w:rFonts w:cstheme="minorHAnsi"/>
          <w:sz w:val="24"/>
          <w:szCs w:val="24"/>
          <w:lang w:val="en-GB"/>
        </w:rPr>
        <w:t xml:space="preserve"> live births, respectively)</w:t>
      </w:r>
      <w:r w:rsidRPr="00CE66BE">
        <w:rPr>
          <w:rFonts w:cstheme="minorHAnsi"/>
          <w:sz w:val="24"/>
          <w:szCs w:val="24"/>
          <w:lang w:val="en-GB"/>
        </w:rPr>
        <w:t>.</w:t>
      </w:r>
    </w:p>
    <w:p w14:paraId="012F5347" w14:textId="7FB2DAD4" w:rsidR="00B011D6" w:rsidRPr="00CE66BE" w:rsidRDefault="00B011D6" w:rsidP="00754F3C">
      <w:pPr>
        <w:spacing w:after="0" w:line="480" w:lineRule="auto"/>
        <w:rPr>
          <w:rFonts w:eastAsia="Times New Roman" w:cstheme="minorHAnsi"/>
          <w:color w:val="000000"/>
          <w:sz w:val="24"/>
          <w:szCs w:val="24"/>
          <w:lang w:val="en-GB"/>
        </w:rPr>
      </w:pPr>
    </w:p>
    <w:p w14:paraId="7BD25F32" w14:textId="1A5FF7FD" w:rsidR="0068719F" w:rsidRPr="00CE66BE" w:rsidRDefault="00D54340" w:rsidP="00754F3C">
      <w:pPr>
        <w:spacing w:after="0" w:line="480" w:lineRule="auto"/>
        <w:rPr>
          <w:rFonts w:cstheme="minorHAnsi"/>
          <w:b/>
          <w:sz w:val="24"/>
          <w:szCs w:val="24"/>
          <w:lang w:val="en-GB"/>
        </w:rPr>
      </w:pPr>
      <w:r w:rsidRPr="00CE66BE">
        <w:rPr>
          <w:rFonts w:cstheme="minorHAnsi"/>
          <w:b/>
          <w:sz w:val="24"/>
          <w:szCs w:val="24"/>
          <w:lang w:val="en-GB"/>
        </w:rPr>
        <w:t>Conditional survival</w:t>
      </w:r>
    </w:p>
    <w:p w14:paraId="6712E1C4" w14:textId="79927461" w:rsidR="007A5331" w:rsidRPr="00CE66BE" w:rsidRDefault="00F6538F" w:rsidP="00754F3C">
      <w:pPr>
        <w:spacing w:after="0" w:line="480" w:lineRule="auto"/>
        <w:rPr>
          <w:rFonts w:eastAsia="Times New Roman" w:cstheme="minorHAnsi"/>
          <w:color w:val="000000"/>
          <w:sz w:val="24"/>
          <w:szCs w:val="24"/>
          <w:lang w:val="en-GB"/>
        </w:rPr>
      </w:pPr>
      <w:r w:rsidRPr="00CE66BE">
        <w:rPr>
          <w:rFonts w:cstheme="minorHAnsi"/>
          <w:sz w:val="24"/>
          <w:szCs w:val="24"/>
          <w:lang w:val="en-GB"/>
        </w:rPr>
        <w:lastRenderedPageBreak/>
        <w:t>For all the registries</w:t>
      </w:r>
      <w:r w:rsidR="004D1456" w:rsidRPr="00CE66BE">
        <w:rPr>
          <w:rFonts w:cstheme="minorHAnsi"/>
          <w:sz w:val="24"/>
          <w:szCs w:val="24"/>
          <w:lang w:val="en-GB"/>
        </w:rPr>
        <w:t>,</w:t>
      </w:r>
      <w:r w:rsidRPr="00CE66BE">
        <w:rPr>
          <w:rFonts w:cstheme="minorHAnsi"/>
          <w:sz w:val="24"/>
          <w:szCs w:val="24"/>
          <w:lang w:val="en-GB"/>
        </w:rPr>
        <w:t xml:space="preserve"> </w:t>
      </w:r>
      <w:r w:rsidR="0077041D" w:rsidRPr="00CE66BE">
        <w:rPr>
          <w:rFonts w:cstheme="minorHAnsi"/>
          <w:sz w:val="24"/>
          <w:szCs w:val="24"/>
          <w:lang w:val="en-GB"/>
        </w:rPr>
        <w:t xml:space="preserve">the majority </w:t>
      </w:r>
      <w:r w:rsidRPr="00CE66BE">
        <w:rPr>
          <w:rFonts w:cstheme="minorHAnsi"/>
          <w:sz w:val="24"/>
          <w:szCs w:val="24"/>
          <w:lang w:val="en-GB"/>
        </w:rPr>
        <w:t>of deaths</w:t>
      </w:r>
      <w:r w:rsidR="00A06892" w:rsidRPr="00CE66BE">
        <w:rPr>
          <w:rFonts w:cstheme="minorHAnsi"/>
          <w:sz w:val="24"/>
          <w:szCs w:val="24"/>
          <w:lang w:val="en-GB"/>
        </w:rPr>
        <w:t xml:space="preserve"> in infants with CAs</w:t>
      </w:r>
      <w:r w:rsidRPr="00CE66BE">
        <w:rPr>
          <w:rFonts w:cstheme="minorHAnsi"/>
          <w:sz w:val="24"/>
          <w:szCs w:val="24"/>
          <w:lang w:val="en-GB"/>
        </w:rPr>
        <w:t xml:space="preserve"> occurred in </w:t>
      </w:r>
      <w:r w:rsidR="00AC2C80" w:rsidRPr="00CE66BE">
        <w:rPr>
          <w:rFonts w:cstheme="minorHAnsi"/>
          <w:sz w:val="24"/>
          <w:szCs w:val="24"/>
          <w:lang w:val="en-GB"/>
        </w:rPr>
        <w:t>the first 28 days of life</w:t>
      </w:r>
      <w:r w:rsidRPr="00CE66BE">
        <w:rPr>
          <w:rFonts w:cstheme="minorHAnsi"/>
          <w:sz w:val="24"/>
          <w:szCs w:val="24"/>
          <w:lang w:val="en-GB"/>
        </w:rPr>
        <w:t xml:space="preserve">. The proportion of deaths </w:t>
      </w:r>
      <w:r w:rsidR="00CE3538" w:rsidRPr="00CE66BE">
        <w:rPr>
          <w:rFonts w:cstheme="minorHAnsi"/>
          <w:sz w:val="24"/>
          <w:szCs w:val="24"/>
          <w:lang w:val="en-GB"/>
        </w:rPr>
        <w:t>with</w:t>
      </w:r>
      <w:r w:rsidRPr="00CE66BE">
        <w:rPr>
          <w:rFonts w:cstheme="minorHAnsi"/>
          <w:sz w:val="24"/>
          <w:szCs w:val="24"/>
          <w:lang w:val="en-GB"/>
        </w:rPr>
        <w:t xml:space="preserve">in </w:t>
      </w:r>
      <w:r w:rsidR="004D1456" w:rsidRPr="00CE66BE">
        <w:rPr>
          <w:rFonts w:cstheme="minorHAnsi"/>
          <w:sz w:val="24"/>
          <w:szCs w:val="24"/>
          <w:lang w:val="en-GB"/>
        </w:rPr>
        <w:t xml:space="preserve">the </w:t>
      </w:r>
      <w:r w:rsidRPr="00CE66BE">
        <w:rPr>
          <w:rFonts w:cstheme="minorHAnsi"/>
          <w:sz w:val="24"/>
          <w:szCs w:val="24"/>
          <w:lang w:val="en-GB"/>
        </w:rPr>
        <w:t xml:space="preserve">first 28 days </w:t>
      </w:r>
      <w:r w:rsidR="004D1456" w:rsidRPr="00CE66BE">
        <w:rPr>
          <w:rFonts w:cstheme="minorHAnsi"/>
          <w:sz w:val="24"/>
          <w:szCs w:val="24"/>
          <w:lang w:val="en-GB"/>
        </w:rPr>
        <w:t xml:space="preserve">of life </w:t>
      </w:r>
      <w:r w:rsidRPr="00CE66BE">
        <w:rPr>
          <w:rFonts w:cstheme="minorHAnsi"/>
          <w:sz w:val="24"/>
          <w:szCs w:val="24"/>
          <w:lang w:val="en-GB"/>
        </w:rPr>
        <w:t xml:space="preserve">among the </w:t>
      </w:r>
      <w:r w:rsidR="00CE3538" w:rsidRPr="00CE66BE">
        <w:rPr>
          <w:rFonts w:cstheme="minorHAnsi"/>
          <w:sz w:val="24"/>
          <w:szCs w:val="24"/>
          <w:lang w:val="en-GB"/>
        </w:rPr>
        <w:t xml:space="preserve">infant </w:t>
      </w:r>
      <w:r w:rsidR="00AC2C80" w:rsidRPr="00CE66BE">
        <w:rPr>
          <w:rFonts w:cstheme="minorHAnsi"/>
          <w:sz w:val="24"/>
          <w:szCs w:val="24"/>
          <w:lang w:val="en-GB"/>
        </w:rPr>
        <w:t>deaths</w:t>
      </w:r>
      <w:r w:rsidR="00CE3538" w:rsidRPr="00CE66BE">
        <w:rPr>
          <w:rFonts w:cstheme="minorHAnsi"/>
          <w:sz w:val="24"/>
          <w:szCs w:val="24"/>
          <w:lang w:val="en-GB"/>
        </w:rPr>
        <w:t xml:space="preserve"> </w:t>
      </w:r>
      <w:r w:rsidRPr="00CE66BE">
        <w:rPr>
          <w:rFonts w:cstheme="minorHAnsi"/>
          <w:sz w:val="24"/>
          <w:szCs w:val="24"/>
          <w:lang w:val="en-GB"/>
        </w:rPr>
        <w:t>ranged from 5</w:t>
      </w:r>
      <w:r w:rsidR="00D15FE6" w:rsidRPr="00CE66BE">
        <w:rPr>
          <w:rFonts w:cstheme="minorHAnsi"/>
          <w:sz w:val="24"/>
          <w:szCs w:val="24"/>
          <w:lang w:val="en-GB"/>
        </w:rPr>
        <w:t>2</w:t>
      </w:r>
      <w:r w:rsidRPr="00CE66BE">
        <w:rPr>
          <w:rFonts w:cstheme="minorHAnsi"/>
          <w:sz w:val="24"/>
          <w:szCs w:val="24"/>
          <w:lang w:val="en-GB"/>
        </w:rPr>
        <w:t>.</w:t>
      </w:r>
      <w:r w:rsidR="00D15FE6" w:rsidRPr="00CE66BE">
        <w:rPr>
          <w:rFonts w:cstheme="minorHAnsi"/>
          <w:sz w:val="24"/>
          <w:szCs w:val="24"/>
          <w:lang w:val="en-GB"/>
        </w:rPr>
        <w:t>9</w:t>
      </w:r>
      <w:r w:rsidRPr="00CE66BE">
        <w:rPr>
          <w:rFonts w:cstheme="minorHAnsi"/>
          <w:sz w:val="24"/>
          <w:szCs w:val="24"/>
          <w:lang w:val="en-GB"/>
        </w:rPr>
        <w:t xml:space="preserve">% in </w:t>
      </w:r>
      <w:r w:rsidR="00D15FE6" w:rsidRPr="00CE66BE">
        <w:rPr>
          <w:rFonts w:cstheme="minorHAnsi"/>
          <w:sz w:val="24"/>
          <w:szCs w:val="24"/>
          <w:lang w:val="en-GB"/>
        </w:rPr>
        <w:t>Funen</w:t>
      </w:r>
      <w:r w:rsidR="00826BAF" w:rsidRPr="00CE66BE">
        <w:rPr>
          <w:rFonts w:cstheme="minorHAnsi"/>
          <w:sz w:val="24"/>
          <w:szCs w:val="24"/>
          <w:lang w:val="en-GB"/>
        </w:rPr>
        <w:t xml:space="preserve"> (</w:t>
      </w:r>
      <w:r w:rsidR="00D15FE6" w:rsidRPr="00CE66BE">
        <w:rPr>
          <w:rFonts w:cstheme="minorHAnsi"/>
          <w:sz w:val="24"/>
          <w:szCs w:val="24"/>
          <w:lang w:val="en-GB"/>
        </w:rPr>
        <w:t>Denmark</w:t>
      </w:r>
      <w:r w:rsidR="00826BAF" w:rsidRPr="00CE66BE">
        <w:rPr>
          <w:rFonts w:cstheme="minorHAnsi"/>
          <w:sz w:val="24"/>
          <w:szCs w:val="24"/>
          <w:lang w:val="en-GB"/>
        </w:rPr>
        <w:t>)</w:t>
      </w:r>
      <w:r w:rsidRPr="00CE66BE">
        <w:rPr>
          <w:rFonts w:cstheme="minorHAnsi"/>
          <w:sz w:val="24"/>
          <w:szCs w:val="24"/>
          <w:lang w:val="en-GB"/>
        </w:rPr>
        <w:t xml:space="preserve"> to </w:t>
      </w:r>
      <w:r w:rsidRPr="00CE66BE">
        <w:rPr>
          <w:rFonts w:eastAsia="Times New Roman" w:cstheme="minorHAnsi"/>
          <w:color w:val="000000"/>
          <w:sz w:val="24"/>
          <w:szCs w:val="24"/>
          <w:lang w:val="en-GB"/>
        </w:rPr>
        <w:t>73.3% in</w:t>
      </w:r>
      <w:r w:rsidR="00E26C00" w:rsidRPr="00CE66BE">
        <w:rPr>
          <w:rFonts w:eastAsia="Times New Roman" w:cstheme="minorHAnsi"/>
          <w:color w:val="000000"/>
          <w:sz w:val="24"/>
          <w:szCs w:val="24"/>
          <w:lang w:val="en-GB"/>
        </w:rPr>
        <w:t xml:space="preserve"> Malta</w:t>
      </w:r>
      <w:r w:rsidR="00C6288F" w:rsidRPr="00CE66BE">
        <w:rPr>
          <w:rFonts w:eastAsia="Times New Roman" w:cstheme="minorHAnsi"/>
          <w:color w:val="000000"/>
          <w:sz w:val="24"/>
          <w:szCs w:val="24"/>
          <w:lang w:val="en-GB"/>
        </w:rPr>
        <w:t xml:space="preserve"> (Table </w:t>
      </w:r>
      <w:r w:rsidR="00E14047" w:rsidRPr="00CE66BE">
        <w:rPr>
          <w:rFonts w:eastAsia="Times New Roman" w:cstheme="minorHAnsi"/>
          <w:color w:val="000000"/>
          <w:sz w:val="24"/>
          <w:szCs w:val="24"/>
          <w:lang w:val="en-GB"/>
        </w:rPr>
        <w:t>4</w:t>
      </w:r>
      <w:r w:rsidR="006F2D9D">
        <w:rPr>
          <w:rFonts w:eastAsia="Times New Roman" w:cstheme="minorHAnsi"/>
          <w:color w:val="000000"/>
          <w:sz w:val="24"/>
          <w:szCs w:val="24"/>
          <w:lang w:val="en-GB"/>
        </w:rPr>
        <w:t>).</w:t>
      </w:r>
    </w:p>
    <w:p w14:paraId="1A8CC822" w14:textId="12695041" w:rsidR="0088257F" w:rsidRPr="00CE66BE" w:rsidRDefault="007A5331" w:rsidP="00754F3C">
      <w:pPr>
        <w:spacing w:after="0" w:line="480" w:lineRule="auto"/>
        <w:rPr>
          <w:rFonts w:cstheme="minorHAnsi"/>
          <w:sz w:val="24"/>
          <w:szCs w:val="24"/>
          <w:lang w:val="en-GB"/>
        </w:rPr>
      </w:pPr>
      <w:r w:rsidRPr="00CE66BE">
        <w:rPr>
          <w:rFonts w:cstheme="minorHAnsi"/>
          <w:sz w:val="24"/>
          <w:szCs w:val="24"/>
          <w:lang w:val="en-GB"/>
        </w:rPr>
        <w:t xml:space="preserve">For </w:t>
      </w:r>
      <w:r w:rsidR="00AF33B0" w:rsidRPr="00CE66BE">
        <w:rPr>
          <w:rFonts w:cstheme="minorHAnsi"/>
          <w:sz w:val="24"/>
          <w:szCs w:val="24"/>
          <w:lang w:val="en-GB"/>
        </w:rPr>
        <w:t>the</w:t>
      </w:r>
      <w:r w:rsidR="00050BFB" w:rsidRPr="00CE66BE">
        <w:rPr>
          <w:rFonts w:cstheme="minorHAnsi"/>
          <w:sz w:val="24"/>
          <w:szCs w:val="24"/>
          <w:lang w:val="en-GB"/>
        </w:rPr>
        <w:t xml:space="preserve"> </w:t>
      </w:r>
      <w:r w:rsidR="005F6A61" w:rsidRPr="00CE66BE">
        <w:rPr>
          <w:rFonts w:cstheme="minorHAnsi"/>
          <w:sz w:val="24"/>
          <w:szCs w:val="24"/>
          <w:lang w:val="en-GB"/>
        </w:rPr>
        <w:t xml:space="preserve">5-year conditional survival of </w:t>
      </w:r>
      <w:r w:rsidR="00AF33B0" w:rsidRPr="00CE66BE">
        <w:rPr>
          <w:rFonts w:cstheme="minorHAnsi"/>
          <w:sz w:val="24"/>
          <w:szCs w:val="24"/>
          <w:lang w:val="en-GB"/>
        </w:rPr>
        <w:t>‘</w:t>
      </w:r>
      <w:r w:rsidR="00050BFB" w:rsidRPr="00CE66BE">
        <w:rPr>
          <w:rFonts w:cstheme="minorHAnsi"/>
          <w:sz w:val="24"/>
          <w:szCs w:val="24"/>
          <w:lang w:val="en-GB"/>
        </w:rPr>
        <w:t>All anomalies</w:t>
      </w:r>
      <w:r w:rsidR="00AF33B0" w:rsidRPr="00CE66BE">
        <w:rPr>
          <w:rFonts w:cstheme="minorHAnsi"/>
          <w:sz w:val="24"/>
          <w:szCs w:val="24"/>
          <w:lang w:val="en-GB"/>
        </w:rPr>
        <w:t>’</w:t>
      </w:r>
      <w:r w:rsidR="00CE3538" w:rsidRPr="00CE66BE">
        <w:rPr>
          <w:rFonts w:cstheme="minorHAnsi"/>
          <w:sz w:val="24"/>
          <w:szCs w:val="24"/>
          <w:lang w:val="en-GB"/>
        </w:rPr>
        <w:t>,</w:t>
      </w:r>
      <w:r w:rsidR="00050BFB" w:rsidRPr="00CE66BE">
        <w:rPr>
          <w:rFonts w:cstheme="minorHAnsi"/>
          <w:sz w:val="24"/>
          <w:szCs w:val="24"/>
          <w:lang w:val="en-GB"/>
        </w:rPr>
        <w:t xml:space="preserve"> </w:t>
      </w:r>
      <w:r w:rsidR="00826BAF" w:rsidRPr="00CE66BE">
        <w:rPr>
          <w:rFonts w:cstheme="minorHAnsi"/>
          <w:sz w:val="24"/>
          <w:szCs w:val="24"/>
          <w:lang w:val="en-GB"/>
        </w:rPr>
        <w:t xml:space="preserve">OMNI-Net (Ukraine) </w:t>
      </w:r>
      <w:r w:rsidR="00011C18" w:rsidRPr="00CE66BE">
        <w:rPr>
          <w:rFonts w:cstheme="minorHAnsi"/>
          <w:sz w:val="24"/>
          <w:szCs w:val="24"/>
          <w:lang w:val="en-GB"/>
        </w:rPr>
        <w:t xml:space="preserve">was </w:t>
      </w:r>
      <w:r w:rsidR="00F526D4" w:rsidRPr="00CE66BE">
        <w:rPr>
          <w:rFonts w:cstheme="minorHAnsi"/>
          <w:sz w:val="24"/>
          <w:szCs w:val="24"/>
          <w:lang w:val="en-GB"/>
        </w:rPr>
        <w:t xml:space="preserve">again </w:t>
      </w:r>
      <w:r w:rsidR="00011C18" w:rsidRPr="00CE66BE">
        <w:rPr>
          <w:rFonts w:cstheme="minorHAnsi"/>
          <w:sz w:val="24"/>
          <w:szCs w:val="24"/>
          <w:lang w:val="en-GB"/>
        </w:rPr>
        <w:t xml:space="preserve">the registry with the lowest </w:t>
      </w:r>
      <w:r w:rsidR="00CE3538" w:rsidRPr="00CE66BE">
        <w:rPr>
          <w:rFonts w:cstheme="minorHAnsi"/>
          <w:sz w:val="24"/>
          <w:szCs w:val="24"/>
          <w:lang w:val="en-GB"/>
        </w:rPr>
        <w:t xml:space="preserve">survival </w:t>
      </w:r>
      <w:r w:rsidR="009570F0" w:rsidRPr="00CE66BE">
        <w:rPr>
          <w:rFonts w:cstheme="minorHAnsi"/>
          <w:sz w:val="24"/>
          <w:szCs w:val="24"/>
          <w:lang w:val="en-GB"/>
        </w:rPr>
        <w:t>estimate</w:t>
      </w:r>
      <w:r w:rsidR="00394FB5">
        <w:rPr>
          <w:rFonts w:cstheme="minorHAnsi"/>
          <w:sz w:val="24"/>
          <w:szCs w:val="24"/>
          <w:lang w:val="en-GB"/>
        </w:rPr>
        <w:t xml:space="preserve"> (93.3%,</w:t>
      </w:r>
      <w:r w:rsidR="008E15A2" w:rsidRPr="00CE66BE">
        <w:rPr>
          <w:rFonts w:cstheme="minorHAnsi"/>
          <w:sz w:val="24"/>
          <w:szCs w:val="24"/>
          <w:lang w:val="en-GB"/>
        </w:rPr>
        <w:t xml:space="preserve"> 95% CI</w:t>
      </w:r>
      <w:r w:rsidR="00394FB5">
        <w:rPr>
          <w:rFonts w:cstheme="minorHAnsi"/>
          <w:sz w:val="24"/>
          <w:szCs w:val="24"/>
          <w:lang w:val="en-GB"/>
        </w:rPr>
        <w:t xml:space="preserve"> 92.6, </w:t>
      </w:r>
      <w:r w:rsidR="008E15A2" w:rsidRPr="00CE66BE">
        <w:rPr>
          <w:rFonts w:cstheme="minorHAnsi"/>
          <w:sz w:val="24"/>
          <w:szCs w:val="24"/>
          <w:lang w:val="en-GB"/>
        </w:rPr>
        <w:t>93.9</w:t>
      </w:r>
      <w:r w:rsidR="00E26C00" w:rsidRPr="00CE66BE">
        <w:rPr>
          <w:rFonts w:cstheme="minorHAnsi"/>
          <w:sz w:val="24"/>
          <w:szCs w:val="24"/>
          <w:lang w:val="en-GB"/>
        </w:rPr>
        <w:t>) and Saxony-</w:t>
      </w:r>
      <w:r w:rsidR="00011C18" w:rsidRPr="00CE66BE">
        <w:rPr>
          <w:rFonts w:cstheme="minorHAnsi"/>
          <w:sz w:val="24"/>
          <w:szCs w:val="24"/>
          <w:lang w:val="en-GB"/>
        </w:rPr>
        <w:t>Anhalt</w:t>
      </w:r>
      <w:r w:rsidR="00B87390" w:rsidRPr="00CE66BE">
        <w:rPr>
          <w:rFonts w:cstheme="minorHAnsi"/>
          <w:sz w:val="24"/>
          <w:szCs w:val="24"/>
          <w:lang w:val="en-GB"/>
        </w:rPr>
        <w:t xml:space="preserve"> (Germany)</w:t>
      </w:r>
      <w:r w:rsidR="00011C18" w:rsidRPr="00CE66BE">
        <w:rPr>
          <w:rFonts w:cstheme="minorHAnsi"/>
          <w:sz w:val="24"/>
          <w:szCs w:val="24"/>
          <w:lang w:val="en-GB"/>
        </w:rPr>
        <w:t xml:space="preserve"> and Finland those with the </w:t>
      </w:r>
      <w:r w:rsidR="009570F0" w:rsidRPr="00CE66BE">
        <w:rPr>
          <w:rFonts w:cstheme="minorHAnsi"/>
          <w:sz w:val="24"/>
          <w:szCs w:val="24"/>
          <w:lang w:val="en-GB"/>
        </w:rPr>
        <w:t>highest</w:t>
      </w:r>
      <w:r w:rsidR="00C27AA2" w:rsidRPr="00CE66BE">
        <w:rPr>
          <w:rFonts w:cstheme="minorHAnsi"/>
          <w:sz w:val="24"/>
          <w:szCs w:val="24"/>
          <w:lang w:val="en-GB"/>
        </w:rPr>
        <w:t xml:space="preserve"> (Table 3, Figure </w:t>
      </w:r>
      <w:r w:rsidR="007643F8">
        <w:rPr>
          <w:rFonts w:cstheme="minorHAnsi"/>
          <w:sz w:val="24"/>
          <w:szCs w:val="24"/>
          <w:lang w:val="en-GB"/>
        </w:rPr>
        <w:t>S</w:t>
      </w:r>
      <w:r w:rsidR="009F6775" w:rsidRPr="00CE66BE">
        <w:rPr>
          <w:rFonts w:cstheme="minorHAnsi"/>
          <w:sz w:val="24"/>
          <w:szCs w:val="24"/>
          <w:lang w:val="en-GB"/>
        </w:rPr>
        <w:t>3</w:t>
      </w:r>
      <w:r w:rsidR="00C27AA2" w:rsidRPr="00CE66BE">
        <w:rPr>
          <w:rFonts w:cstheme="minorHAnsi"/>
          <w:sz w:val="24"/>
          <w:szCs w:val="24"/>
          <w:lang w:val="en-GB"/>
        </w:rPr>
        <w:t>)</w:t>
      </w:r>
      <w:r w:rsidR="00011C18" w:rsidRPr="00CE66BE">
        <w:rPr>
          <w:rFonts w:cstheme="minorHAnsi"/>
          <w:sz w:val="24"/>
          <w:szCs w:val="24"/>
          <w:lang w:val="en-GB"/>
        </w:rPr>
        <w:t xml:space="preserve">. </w:t>
      </w:r>
      <w:r w:rsidR="00C156C9" w:rsidRPr="00CE66BE">
        <w:rPr>
          <w:rFonts w:cstheme="minorHAnsi"/>
          <w:sz w:val="24"/>
          <w:szCs w:val="24"/>
          <w:lang w:val="en-GB"/>
        </w:rPr>
        <w:t>Similar</w:t>
      </w:r>
      <w:r w:rsidR="002A3B78" w:rsidRPr="00CE66BE">
        <w:rPr>
          <w:rFonts w:cstheme="minorHAnsi"/>
          <w:sz w:val="24"/>
          <w:szCs w:val="24"/>
          <w:lang w:val="en-GB"/>
        </w:rPr>
        <w:t xml:space="preserve"> to</w:t>
      </w:r>
      <w:r w:rsidR="00011C18" w:rsidRPr="00CE66BE">
        <w:rPr>
          <w:rFonts w:cstheme="minorHAnsi"/>
          <w:sz w:val="24"/>
          <w:szCs w:val="24"/>
          <w:lang w:val="en-GB"/>
        </w:rPr>
        <w:t xml:space="preserve"> </w:t>
      </w:r>
      <w:r w:rsidR="00FB59FF" w:rsidRPr="00CE66BE">
        <w:rPr>
          <w:rFonts w:cstheme="minorHAnsi"/>
          <w:sz w:val="24"/>
          <w:szCs w:val="24"/>
          <w:lang w:val="en-GB"/>
        </w:rPr>
        <w:t xml:space="preserve">unconditional </w:t>
      </w:r>
      <w:r w:rsidR="00011C18" w:rsidRPr="00CE66BE">
        <w:rPr>
          <w:rFonts w:cstheme="minorHAnsi"/>
          <w:sz w:val="24"/>
          <w:szCs w:val="24"/>
          <w:lang w:val="en-GB"/>
        </w:rPr>
        <w:t>s</w:t>
      </w:r>
      <w:r w:rsidR="009570F0" w:rsidRPr="00CE66BE">
        <w:rPr>
          <w:rFonts w:cstheme="minorHAnsi"/>
          <w:sz w:val="24"/>
          <w:szCs w:val="24"/>
          <w:lang w:val="en-GB"/>
        </w:rPr>
        <w:t xml:space="preserve">urvival at 5 years, we observed </w:t>
      </w:r>
      <w:r w:rsidR="00011C18" w:rsidRPr="00CE66BE">
        <w:rPr>
          <w:rFonts w:cstheme="minorHAnsi"/>
          <w:sz w:val="24"/>
          <w:szCs w:val="24"/>
          <w:lang w:val="en-GB"/>
        </w:rPr>
        <w:t xml:space="preserve">a </w:t>
      </w:r>
      <w:r w:rsidR="00B56936" w:rsidRPr="00CE66BE">
        <w:rPr>
          <w:rFonts w:cstheme="minorHAnsi"/>
          <w:sz w:val="24"/>
          <w:szCs w:val="24"/>
          <w:lang w:val="en-GB"/>
        </w:rPr>
        <w:t xml:space="preserve">relatively </w:t>
      </w:r>
      <w:r w:rsidR="00011C18" w:rsidRPr="00CE66BE">
        <w:rPr>
          <w:rFonts w:cstheme="minorHAnsi"/>
          <w:sz w:val="24"/>
          <w:szCs w:val="24"/>
          <w:lang w:val="en-GB"/>
        </w:rPr>
        <w:t>low survival for the three English registries.</w:t>
      </w:r>
      <w:r w:rsidR="009570F0" w:rsidRPr="00CE66BE">
        <w:rPr>
          <w:rFonts w:cstheme="minorHAnsi"/>
          <w:sz w:val="24"/>
          <w:szCs w:val="24"/>
          <w:lang w:val="en-GB"/>
        </w:rPr>
        <w:t xml:space="preserve"> </w:t>
      </w:r>
      <w:r w:rsidR="00011C18" w:rsidRPr="00CE66BE">
        <w:rPr>
          <w:rFonts w:cstheme="minorHAnsi"/>
          <w:sz w:val="24"/>
          <w:szCs w:val="24"/>
          <w:lang w:val="en-GB"/>
        </w:rPr>
        <w:t>For Malta</w:t>
      </w:r>
      <w:r w:rsidR="00BB772A" w:rsidRPr="00CE66BE">
        <w:rPr>
          <w:rFonts w:cstheme="minorHAnsi"/>
          <w:sz w:val="24"/>
          <w:szCs w:val="24"/>
          <w:lang w:val="en-GB"/>
        </w:rPr>
        <w:t xml:space="preserve"> and OMNI-Net (Ukraine)</w:t>
      </w:r>
      <w:r w:rsidR="007B75D1" w:rsidRPr="00CE66BE">
        <w:rPr>
          <w:rFonts w:cstheme="minorHAnsi"/>
          <w:sz w:val="24"/>
          <w:szCs w:val="24"/>
          <w:lang w:val="en-GB"/>
        </w:rPr>
        <w:t>,</w:t>
      </w:r>
      <w:r w:rsidR="00011C18" w:rsidRPr="00CE66BE">
        <w:rPr>
          <w:rFonts w:cstheme="minorHAnsi"/>
          <w:sz w:val="24"/>
          <w:szCs w:val="24"/>
          <w:lang w:val="en-GB"/>
        </w:rPr>
        <w:t xml:space="preserve"> the </w:t>
      </w:r>
      <w:r w:rsidR="00CE3538" w:rsidRPr="00CE66BE">
        <w:rPr>
          <w:rFonts w:cstheme="minorHAnsi"/>
          <w:sz w:val="24"/>
          <w:szCs w:val="24"/>
          <w:lang w:val="en-GB"/>
        </w:rPr>
        <w:t xml:space="preserve">5-year conditional </w:t>
      </w:r>
      <w:r w:rsidR="00011C18" w:rsidRPr="00CE66BE">
        <w:rPr>
          <w:rFonts w:cstheme="minorHAnsi"/>
          <w:sz w:val="24"/>
          <w:szCs w:val="24"/>
          <w:lang w:val="en-GB"/>
        </w:rPr>
        <w:t>survi</w:t>
      </w:r>
      <w:r w:rsidR="009570F0" w:rsidRPr="00CE66BE">
        <w:rPr>
          <w:rFonts w:cstheme="minorHAnsi"/>
          <w:sz w:val="24"/>
          <w:szCs w:val="24"/>
          <w:lang w:val="en-GB"/>
        </w:rPr>
        <w:t xml:space="preserve">val </w:t>
      </w:r>
      <w:r w:rsidR="002A2AA5" w:rsidRPr="00CE66BE">
        <w:rPr>
          <w:rFonts w:cstheme="minorHAnsi"/>
          <w:sz w:val="24"/>
          <w:szCs w:val="24"/>
          <w:lang w:val="en-GB"/>
        </w:rPr>
        <w:t xml:space="preserve">estimate </w:t>
      </w:r>
      <w:r w:rsidR="007B75D1" w:rsidRPr="00CE66BE">
        <w:rPr>
          <w:rFonts w:cstheme="minorHAnsi"/>
          <w:sz w:val="24"/>
          <w:szCs w:val="24"/>
          <w:lang w:val="en-GB"/>
        </w:rPr>
        <w:t xml:space="preserve">largely </w:t>
      </w:r>
      <w:r w:rsidR="002A2AA5" w:rsidRPr="00CE66BE">
        <w:rPr>
          <w:rFonts w:cstheme="minorHAnsi"/>
          <w:sz w:val="24"/>
          <w:szCs w:val="24"/>
          <w:lang w:val="en-GB"/>
        </w:rPr>
        <w:t>increased</w:t>
      </w:r>
      <w:r w:rsidR="00011C18" w:rsidRPr="00CE66BE">
        <w:rPr>
          <w:rFonts w:cstheme="minorHAnsi"/>
          <w:sz w:val="24"/>
          <w:szCs w:val="24"/>
          <w:lang w:val="en-GB"/>
        </w:rPr>
        <w:t xml:space="preserve"> </w:t>
      </w:r>
      <w:r w:rsidR="00CE3538" w:rsidRPr="00CE66BE">
        <w:rPr>
          <w:rFonts w:cstheme="minorHAnsi"/>
          <w:sz w:val="24"/>
          <w:szCs w:val="24"/>
          <w:lang w:val="en-GB"/>
        </w:rPr>
        <w:t xml:space="preserve">compared to the unconditional survival </w:t>
      </w:r>
      <w:r w:rsidR="0079386B" w:rsidRPr="00CE66BE">
        <w:rPr>
          <w:rFonts w:cstheme="minorHAnsi"/>
          <w:sz w:val="24"/>
          <w:szCs w:val="24"/>
          <w:lang w:val="en-GB"/>
        </w:rPr>
        <w:t>(</w:t>
      </w:r>
      <w:r w:rsidR="00BD5E29" w:rsidRPr="00CE66BE">
        <w:rPr>
          <w:rFonts w:cstheme="minorHAnsi"/>
          <w:sz w:val="24"/>
          <w:szCs w:val="24"/>
          <w:lang w:val="en-GB"/>
        </w:rPr>
        <w:t>96.8%</w:t>
      </w:r>
      <w:r w:rsidR="00BB772A" w:rsidRPr="00CE66BE">
        <w:rPr>
          <w:rFonts w:cstheme="minorHAnsi"/>
          <w:sz w:val="24"/>
          <w:szCs w:val="24"/>
          <w:lang w:val="en-GB"/>
        </w:rPr>
        <w:t xml:space="preserve"> vs 90.6%, and 93.3% vs 87.0%, respectively</w:t>
      </w:r>
      <w:r w:rsidR="00BD5E29" w:rsidRPr="00CE66BE">
        <w:rPr>
          <w:rFonts w:cstheme="minorHAnsi"/>
          <w:sz w:val="24"/>
          <w:szCs w:val="24"/>
          <w:lang w:val="en-GB"/>
        </w:rPr>
        <w:t>)</w:t>
      </w:r>
      <w:r w:rsidR="003C5E3B" w:rsidRPr="00CE66BE">
        <w:rPr>
          <w:rFonts w:cstheme="minorHAnsi"/>
          <w:sz w:val="24"/>
          <w:szCs w:val="24"/>
          <w:lang w:val="en-GB"/>
        </w:rPr>
        <w:t>.</w:t>
      </w:r>
    </w:p>
    <w:p w14:paraId="3F18399E" w14:textId="7466D754" w:rsidR="00CE3538" w:rsidRPr="00CE66BE" w:rsidRDefault="00CE3538" w:rsidP="00754F3C">
      <w:pPr>
        <w:spacing w:after="0" w:line="480" w:lineRule="auto"/>
        <w:rPr>
          <w:rFonts w:cstheme="minorHAnsi"/>
          <w:sz w:val="24"/>
          <w:szCs w:val="24"/>
          <w:lang w:val="en-GB"/>
        </w:rPr>
      </w:pPr>
      <w:r w:rsidRPr="00CE66BE">
        <w:rPr>
          <w:rFonts w:cstheme="minorHAnsi"/>
          <w:sz w:val="24"/>
          <w:szCs w:val="24"/>
          <w:lang w:val="en-GB"/>
        </w:rPr>
        <w:t>For</w:t>
      </w:r>
      <w:r w:rsidR="00B87390" w:rsidRPr="00CE66BE">
        <w:rPr>
          <w:rFonts w:cstheme="minorHAnsi"/>
          <w:sz w:val="24"/>
          <w:szCs w:val="24"/>
          <w:lang w:val="en-GB"/>
        </w:rPr>
        <w:t xml:space="preserve"> </w:t>
      </w:r>
      <w:r w:rsidR="00AC2C80" w:rsidRPr="00CE66BE">
        <w:rPr>
          <w:rFonts w:cstheme="minorHAnsi"/>
          <w:sz w:val="24"/>
          <w:szCs w:val="24"/>
          <w:lang w:val="en-GB"/>
        </w:rPr>
        <w:t xml:space="preserve">isolated </w:t>
      </w:r>
      <w:r w:rsidR="00767FA6" w:rsidRPr="00CE66BE">
        <w:rPr>
          <w:rFonts w:cstheme="minorHAnsi"/>
          <w:sz w:val="24"/>
          <w:szCs w:val="24"/>
          <w:lang w:val="en-GB"/>
        </w:rPr>
        <w:t xml:space="preserve">severe </w:t>
      </w:r>
      <w:r w:rsidR="00B87390" w:rsidRPr="00CE66BE">
        <w:rPr>
          <w:rFonts w:cstheme="minorHAnsi"/>
          <w:sz w:val="24"/>
          <w:szCs w:val="24"/>
          <w:lang w:val="en-GB"/>
        </w:rPr>
        <w:t>CHD</w:t>
      </w:r>
      <w:r w:rsidRPr="00CE66BE">
        <w:rPr>
          <w:rFonts w:cstheme="minorHAnsi"/>
          <w:sz w:val="24"/>
          <w:szCs w:val="24"/>
          <w:lang w:val="en-GB"/>
        </w:rPr>
        <w:t xml:space="preserve">, </w:t>
      </w:r>
      <w:r w:rsidR="005E33DD" w:rsidRPr="00CE66BE">
        <w:rPr>
          <w:rFonts w:cstheme="minorHAnsi"/>
          <w:sz w:val="24"/>
          <w:szCs w:val="24"/>
          <w:lang w:val="en-GB"/>
        </w:rPr>
        <w:t xml:space="preserve">OMNI-Net (Ukraine) was the registry with the lowest survival estimate, </w:t>
      </w:r>
      <w:r w:rsidR="00A06892" w:rsidRPr="00CE66BE">
        <w:rPr>
          <w:rFonts w:cstheme="minorHAnsi"/>
          <w:sz w:val="24"/>
          <w:szCs w:val="24"/>
          <w:lang w:val="en-GB"/>
        </w:rPr>
        <w:t xml:space="preserve">although </w:t>
      </w:r>
      <w:r w:rsidR="005E33DD" w:rsidRPr="00CE66BE">
        <w:rPr>
          <w:rFonts w:cstheme="minorHAnsi"/>
          <w:sz w:val="24"/>
          <w:szCs w:val="24"/>
          <w:lang w:val="en-GB"/>
        </w:rPr>
        <w:t>conditional surv</w:t>
      </w:r>
      <w:r w:rsidR="000E5853" w:rsidRPr="00CE66BE">
        <w:rPr>
          <w:rFonts w:cstheme="minorHAnsi"/>
          <w:sz w:val="24"/>
          <w:szCs w:val="24"/>
          <w:lang w:val="en-GB"/>
        </w:rPr>
        <w:t xml:space="preserve">ival compared </w:t>
      </w:r>
      <w:r w:rsidR="00A06892" w:rsidRPr="00CE66BE">
        <w:rPr>
          <w:rFonts w:cstheme="minorHAnsi"/>
          <w:sz w:val="24"/>
          <w:szCs w:val="24"/>
          <w:lang w:val="en-GB"/>
        </w:rPr>
        <w:t xml:space="preserve">with </w:t>
      </w:r>
      <w:r w:rsidR="000E5853" w:rsidRPr="00CE66BE">
        <w:rPr>
          <w:rFonts w:cstheme="minorHAnsi"/>
          <w:sz w:val="24"/>
          <w:szCs w:val="24"/>
          <w:lang w:val="en-GB"/>
        </w:rPr>
        <w:t xml:space="preserve">unconditional </w:t>
      </w:r>
      <w:r w:rsidR="00A06892" w:rsidRPr="00CE66BE">
        <w:rPr>
          <w:rFonts w:cstheme="minorHAnsi"/>
          <w:sz w:val="24"/>
          <w:szCs w:val="24"/>
          <w:lang w:val="en-GB"/>
        </w:rPr>
        <w:t xml:space="preserve">survival </w:t>
      </w:r>
      <w:r w:rsidR="005E33DD" w:rsidRPr="00CE66BE">
        <w:rPr>
          <w:rFonts w:cstheme="minorHAnsi"/>
          <w:sz w:val="24"/>
          <w:szCs w:val="24"/>
          <w:lang w:val="en-GB"/>
        </w:rPr>
        <w:t>increased much more than in other registries</w:t>
      </w:r>
      <w:r w:rsidR="004D5657" w:rsidRPr="00CE66BE">
        <w:rPr>
          <w:rFonts w:cstheme="minorHAnsi"/>
          <w:sz w:val="24"/>
          <w:szCs w:val="24"/>
          <w:lang w:val="en-GB"/>
        </w:rPr>
        <w:t xml:space="preserve"> (79.4% vs 57.5%</w:t>
      </w:r>
      <w:r w:rsidR="005E33DD" w:rsidRPr="00CE66BE">
        <w:rPr>
          <w:rFonts w:cstheme="minorHAnsi"/>
          <w:sz w:val="24"/>
          <w:szCs w:val="24"/>
          <w:lang w:val="en-GB"/>
        </w:rPr>
        <w:t xml:space="preserve">). Also </w:t>
      </w:r>
      <w:r w:rsidR="00A06892" w:rsidRPr="00CE66BE">
        <w:rPr>
          <w:rFonts w:cstheme="minorHAnsi"/>
          <w:sz w:val="24"/>
          <w:szCs w:val="24"/>
          <w:lang w:val="en-GB"/>
        </w:rPr>
        <w:t>in</w:t>
      </w:r>
      <w:r w:rsidRPr="00CE66BE">
        <w:rPr>
          <w:rFonts w:cstheme="minorHAnsi"/>
          <w:sz w:val="24"/>
          <w:szCs w:val="24"/>
          <w:lang w:val="en-GB"/>
        </w:rPr>
        <w:t xml:space="preserve"> Malta,</w:t>
      </w:r>
      <w:r w:rsidR="00C6288F" w:rsidRPr="00CE66BE">
        <w:rPr>
          <w:rFonts w:cstheme="minorHAnsi"/>
          <w:sz w:val="24"/>
          <w:szCs w:val="24"/>
          <w:lang w:val="en-GB"/>
        </w:rPr>
        <w:t xml:space="preserve"> conditional survival</w:t>
      </w:r>
      <w:r w:rsidR="00263CEE" w:rsidRPr="00CE66BE">
        <w:rPr>
          <w:rFonts w:cstheme="minorHAnsi"/>
          <w:sz w:val="24"/>
          <w:szCs w:val="24"/>
          <w:lang w:val="en-GB"/>
        </w:rPr>
        <w:t xml:space="preserve"> compared </w:t>
      </w:r>
      <w:r w:rsidR="00A06892" w:rsidRPr="00CE66BE">
        <w:rPr>
          <w:rFonts w:cstheme="minorHAnsi"/>
          <w:sz w:val="24"/>
          <w:szCs w:val="24"/>
          <w:lang w:val="en-GB"/>
        </w:rPr>
        <w:t>with</w:t>
      </w:r>
      <w:r w:rsidR="00263CEE" w:rsidRPr="00CE66BE">
        <w:rPr>
          <w:rFonts w:cstheme="minorHAnsi"/>
          <w:sz w:val="24"/>
          <w:szCs w:val="24"/>
          <w:lang w:val="en-GB"/>
        </w:rPr>
        <w:t xml:space="preserve"> unconditional</w:t>
      </w:r>
      <w:r w:rsidR="00A06892" w:rsidRPr="00CE66BE">
        <w:rPr>
          <w:rFonts w:cstheme="minorHAnsi"/>
          <w:sz w:val="24"/>
          <w:szCs w:val="24"/>
          <w:lang w:val="en-GB"/>
        </w:rPr>
        <w:t xml:space="preserve"> survival</w:t>
      </w:r>
      <w:r w:rsidR="00C6288F" w:rsidRPr="00CE66BE">
        <w:rPr>
          <w:rFonts w:cstheme="minorHAnsi"/>
          <w:sz w:val="24"/>
          <w:szCs w:val="24"/>
          <w:lang w:val="en-GB"/>
        </w:rPr>
        <w:t xml:space="preserve"> </w:t>
      </w:r>
      <w:r w:rsidR="005E33DD" w:rsidRPr="00CE66BE">
        <w:rPr>
          <w:rFonts w:cstheme="minorHAnsi"/>
          <w:sz w:val="24"/>
          <w:szCs w:val="24"/>
          <w:lang w:val="en-GB"/>
        </w:rPr>
        <w:t xml:space="preserve">largely </w:t>
      </w:r>
      <w:r w:rsidR="00C6288F" w:rsidRPr="00CE66BE">
        <w:rPr>
          <w:rFonts w:cstheme="minorHAnsi"/>
          <w:sz w:val="24"/>
          <w:szCs w:val="24"/>
          <w:lang w:val="en-GB"/>
        </w:rPr>
        <w:t>increased (93.5% vs. 78.3%)</w:t>
      </w:r>
      <w:r w:rsidR="008C271F" w:rsidRPr="00CE66BE">
        <w:rPr>
          <w:rFonts w:cstheme="minorHAnsi"/>
          <w:sz w:val="24"/>
          <w:szCs w:val="24"/>
          <w:lang w:val="en-GB"/>
        </w:rPr>
        <w:t>.</w:t>
      </w:r>
    </w:p>
    <w:p w14:paraId="6413953C" w14:textId="285FBAA3" w:rsidR="004D4F48" w:rsidRPr="00CE66BE" w:rsidRDefault="00582421" w:rsidP="00754F3C">
      <w:pPr>
        <w:spacing w:after="0" w:line="480" w:lineRule="auto"/>
        <w:rPr>
          <w:rFonts w:cstheme="minorHAnsi"/>
          <w:sz w:val="24"/>
          <w:szCs w:val="24"/>
          <w:lang w:val="en-GB"/>
        </w:rPr>
      </w:pPr>
      <w:r w:rsidRPr="00CE66BE">
        <w:rPr>
          <w:rFonts w:cstheme="minorHAnsi"/>
          <w:sz w:val="24"/>
          <w:szCs w:val="24"/>
          <w:lang w:val="en-GB"/>
        </w:rPr>
        <w:t xml:space="preserve">In Figure </w:t>
      </w:r>
      <w:r w:rsidR="009F6775">
        <w:rPr>
          <w:rFonts w:cstheme="minorHAnsi"/>
          <w:sz w:val="24"/>
          <w:szCs w:val="24"/>
          <w:lang w:val="en-GB"/>
        </w:rPr>
        <w:t>1</w:t>
      </w:r>
      <w:r w:rsidR="0088257F" w:rsidRPr="00CE66BE">
        <w:rPr>
          <w:rFonts w:cstheme="minorHAnsi"/>
          <w:sz w:val="24"/>
          <w:szCs w:val="24"/>
          <w:lang w:val="en-GB"/>
        </w:rPr>
        <w:t>,</w:t>
      </w:r>
      <w:r w:rsidRPr="00CE66BE">
        <w:rPr>
          <w:rFonts w:cstheme="minorHAnsi"/>
          <w:sz w:val="24"/>
          <w:szCs w:val="24"/>
          <w:lang w:val="en-GB"/>
        </w:rPr>
        <w:t xml:space="preserve"> unconditional and conditional survival estimates were plotted</w:t>
      </w:r>
      <w:r w:rsidR="00061306" w:rsidRPr="00CE66BE">
        <w:rPr>
          <w:rFonts w:cstheme="minorHAnsi"/>
          <w:sz w:val="24"/>
          <w:szCs w:val="24"/>
          <w:lang w:val="en-GB"/>
        </w:rPr>
        <w:t xml:space="preserve"> showing</w:t>
      </w:r>
      <w:r w:rsidR="00E66A76" w:rsidRPr="00CE66BE">
        <w:rPr>
          <w:rFonts w:cstheme="minorHAnsi"/>
          <w:sz w:val="24"/>
          <w:szCs w:val="24"/>
          <w:lang w:val="en-GB"/>
        </w:rPr>
        <w:t xml:space="preserve"> </w:t>
      </w:r>
      <w:r w:rsidR="00061306" w:rsidRPr="00CE66BE">
        <w:rPr>
          <w:rFonts w:cstheme="minorHAnsi"/>
          <w:sz w:val="24"/>
          <w:szCs w:val="24"/>
          <w:lang w:val="en-GB"/>
        </w:rPr>
        <w:t>a strong linear association between the two</w:t>
      </w:r>
      <w:r w:rsidR="00FB3CB9" w:rsidRPr="00CE66BE">
        <w:rPr>
          <w:rFonts w:cstheme="minorHAnsi"/>
          <w:sz w:val="24"/>
          <w:szCs w:val="24"/>
          <w:lang w:val="en-GB"/>
        </w:rPr>
        <w:t xml:space="preserve"> for all registries apart from Malta</w:t>
      </w:r>
      <w:r w:rsidR="009A689E" w:rsidRPr="00CE66BE">
        <w:rPr>
          <w:rFonts w:cstheme="minorHAnsi"/>
          <w:sz w:val="24"/>
          <w:szCs w:val="24"/>
          <w:lang w:val="en-GB"/>
        </w:rPr>
        <w:t>.</w:t>
      </w:r>
      <w:r w:rsidR="00483BA6" w:rsidRPr="00CE66BE">
        <w:rPr>
          <w:rFonts w:cstheme="minorHAnsi"/>
          <w:sz w:val="24"/>
          <w:szCs w:val="24"/>
          <w:lang w:val="en-GB"/>
        </w:rPr>
        <w:t xml:space="preserve"> For</w:t>
      </w:r>
      <w:r w:rsidRPr="00CE66BE">
        <w:rPr>
          <w:rFonts w:cstheme="minorHAnsi"/>
          <w:sz w:val="24"/>
          <w:szCs w:val="24"/>
          <w:lang w:val="en-GB"/>
        </w:rPr>
        <w:t xml:space="preserve"> Finland and OMNI-Net (Ukraine) </w:t>
      </w:r>
      <w:r w:rsidR="009A689E" w:rsidRPr="00CE66BE">
        <w:rPr>
          <w:rFonts w:cstheme="minorHAnsi"/>
          <w:sz w:val="24"/>
          <w:szCs w:val="24"/>
          <w:lang w:val="en-GB"/>
        </w:rPr>
        <w:t xml:space="preserve">despite </w:t>
      </w:r>
      <w:r w:rsidR="00FB3CB9" w:rsidRPr="00CE66BE">
        <w:rPr>
          <w:rFonts w:cstheme="minorHAnsi"/>
          <w:sz w:val="24"/>
          <w:szCs w:val="24"/>
          <w:lang w:val="en-GB"/>
        </w:rPr>
        <w:t xml:space="preserve">the </w:t>
      </w:r>
      <w:r w:rsidR="00483BA6" w:rsidRPr="00CE66BE">
        <w:rPr>
          <w:rFonts w:cstheme="minorHAnsi"/>
          <w:sz w:val="24"/>
          <w:szCs w:val="24"/>
          <w:lang w:val="en-GB"/>
        </w:rPr>
        <w:t xml:space="preserve">survival estimates were the </w:t>
      </w:r>
      <w:r w:rsidRPr="00CE66BE">
        <w:rPr>
          <w:rFonts w:cstheme="minorHAnsi"/>
          <w:sz w:val="24"/>
          <w:szCs w:val="24"/>
          <w:lang w:val="en-GB"/>
        </w:rPr>
        <w:t>highest and lowest</w:t>
      </w:r>
      <w:r w:rsidR="00483BA6" w:rsidRPr="00CE66BE">
        <w:rPr>
          <w:rFonts w:cstheme="minorHAnsi"/>
          <w:sz w:val="24"/>
          <w:szCs w:val="24"/>
          <w:lang w:val="en-GB"/>
        </w:rPr>
        <w:t>,</w:t>
      </w:r>
      <w:r w:rsidR="00FB3CB9" w:rsidRPr="00CE66BE">
        <w:rPr>
          <w:rFonts w:cstheme="minorHAnsi"/>
          <w:sz w:val="24"/>
          <w:szCs w:val="24"/>
          <w:lang w:val="en-GB"/>
        </w:rPr>
        <w:t xml:space="preserve"> </w:t>
      </w:r>
      <w:r w:rsidR="008457FE" w:rsidRPr="00CE66BE">
        <w:rPr>
          <w:rFonts w:cstheme="minorHAnsi"/>
          <w:sz w:val="24"/>
          <w:szCs w:val="24"/>
          <w:lang w:val="en-GB"/>
        </w:rPr>
        <w:t xml:space="preserve">they </w:t>
      </w:r>
      <w:r w:rsidR="009A689E" w:rsidRPr="00CE66BE">
        <w:rPr>
          <w:rFonts w:cstheme="minorHAnsi"/>
          <w:sz w:val="24"/>
          <w:szCs w:val="24"/>
          <w:lang w:val="en-GB"/>
        </w:rPr>
        <w:t xml:space="preserve">were </w:t>
      </w:r>
      <w:r w:rsidR="00FB3CB9" w:rsidRPr="00CE66BE">
        <w:rPr>
          <w:rFonts w:cstheme="minorHAnsi"/>
          <w:sz w:val="24"/>
          <w:szCs w:val="24"/>
          <w:lang w:val="en-GB"/>
        </w:rPr>
        <w:t xml:space="preserve">both consistent with the association observed in the other registries. </w:t>
      </w:r>
    </w:p>
    <w:p w14:paraId="3F5ADFF9" w14:textId="7B87C246" w:rsidR="00582421" w:rsidRPr="00CE66BE" w:rsidRDefault="00E17063" w:rsidP="00754F3C">
      <w:pPr>
        <w:spacing w:after="0" w:line="480" w:lineRule="auto"/>
        <w:rPr>
          <w:rFonts w:cstheme="minorHAnsi"/>
          <w:sz w:val="24"/>
          <w:szCs w:val="24"/>
          <w:lang w:val="en-GB"/>
        </w:rPr>
      </w:pPr>
      <w:r w:rsidRPr="00CE66BE">
        <w:rPr>
          <w:rFonts w:cstheme="minorHAnsi"/>
          <w:sz w:val="24"/>
          <w:szCs w:val="24"/>
          <w:lang w:val="en-GB"/>
        </w:rPr>
        <w:t>Figur</w:t>
      </w:r>
      <w:r w:rsidR="00553A0A" w:rsidRPr="00CE66BE">
        <w:rPr>
          <w:rFonts w:cstheme="minorHAnsi"/>
          <w:sz w:val="24"/>
          <w:szCs w:val="24"/>
          <w:lang w:val="en-GB"/>
        </w:rPr>
        <w:t>e</w:t>
      </w:r>
      <w:r w:rsidRPr="00CE66BE">
        <w:rPr>
          <w:rFonts w:cstheme="minorHAnsi"/>
          <w:sz w:val="24"/>
          <w:szCs w:val="24"/>
          <w:lang w:val="en-GB"/>
        </w:rPr>
        <w:t xml:space="preserve"> </w:t>
      </w:r>
      <w:r w:rsidR="009F6775">
        <w:rPr>
          <w:rFonts w:cstheme="minorHAnsi"/>
          <w:sz w:val="24"/>
          <w:szCs w:val="24"/>
          <w:lang w:val="en-GB"/>
        </w:rPr>
        <w:t>2</w:t>
      </w:r>
      <w:r w:rsidR="009F6775" w:rsidRPr="00CE66BE">
        <w:rPr>
          <w:rFonts w:cstheme="minorHAnsi"/>
          <w:sz w:val="24"/>
          <w:szCs w:val="24"/>
          <w:lang w:val="en-GB"/>
        </w:rPr>
        <w:t xml:space="preserve"> </w:t>
      </w:r>
      <w:r w:rsidRPr="00CE66BE">
        <w:rPr>
          <w:rFonts w:cstheme="minorHAnsi"/>
          <w:sz w:val="24"/>
          <w:szCs w:val="24"/>
          <w:lang w:val="en-GB"/>
        </w:rPr>
        <w:t xml:space="preserve">shows the </w:t>
      </w:r>
      <w:r w:rsidR="00457BCB" w:rsidRPr="00CE66BE">
        <w:rPr>
          <w:rFonts w:cstheme="minorHAnsi"/>
          <w:sz w:val="24"/>
          <w:szCs w:val="24"/>
          <w:lang w:val="en-GB"/>
        </w:rPr>
        <w:t>5</w:t>
      </w:r>
      <w:r w:rsidRPr="00CE66BE">
        <w:rPr>
          <w:rFonts w:cstheme="minorHAnsi"/>
          <w:sz w:val="24"/>
          <w:szCs w:val="24"/>
          <w:lang w:val="en-GB"/>
        </w:rPr>
        <w:t>-</w:t>
      </w:r>
      <w:r w:rsidR="009A689E" w:rsidRPr="00CE66BE">
        <w:rPr>
          <w:rFonts w:cstheme="minorHAnsi"/>
          <w:sz w:val="24"/>
          <w:szCs w:val="24"/>
          <w:lang w:val="en-GB"/>
        </w:rPr>
        <w:t xml:space="preserve">year survival in children with a major </w:t>
      </w:r>
      <w:r w:rsidRPr="00CE66BE">
        <w:rPr>
          <w:rFonts w:cstheme="minorHAnsi"/>
          <w:sz w:val="24"/>
          <w:szCs w:val="24"/>
          <w:lang w:val="en-GB"/>
        </w:rPr>
        <w:t>CA</w:t>
      </w:r>
      <w:r w:rsidR="009A689E" w:rsidRPr="00CE66BE">
        <w:rPr>
          <w:rFonts w:cstheme="minorHAnsi"/>
          <w:sz w:val="24"/>
          <w:szCs w:val="24"/>
          <w:lang w:val="en-GB"/>
        </w:rPr>
        <w:t xml:space="preserve"> compared with the prevalence of </w:t>
      </w:r>
      <w:r w:rsidRPr="00CE66BE">
        <w:rPr>
          <w:rFonts w:cstheme="minorHAnsi"/>
          <w:sz w:val="24"/>
          <w:szCs w:val="24"/>
          <w:lang w:val="en-GB"/>
        </w:rPr>
        <w:t>CAs</w:t>
      </w:r>
      <w:r w:rsidR="009A689E" w:rsidRPr="00CE66BE">
        <w:rPr>
          <w:rFonts w:cstheme="minorHAnsi"/>
          <w:sz w:val="24"/>
          <w:szCs w:val="24"/>
          <w:lang w:val="en-GB"/>
        </w:rPr>
        <w:t xml:space="preserve"> per 10,000 births. No association between survival and prevalence is expected</w:t>
      </w:r>
      <w:r w:rsidRPr="00CE66BE">
        <w:rPr>
          <w:rFonts w:cstheme="minorHAnsi"/>
          <w:sz w:val="24"/>
          <w:szCs w:val="24"/>
          <w:lang w:val="en-GB"/>
        </w:rPr>
        <w:t>, hence</w:t>
      </w:r>
      <w:r w:rsidR="009A689E" w:rsidRPr="00CE66BE">
        <w:rPr>
          <w:rFonts w:cstheme="minorHAnsi"/>
          <w:sz w:val="24"/>
          <w:szCs w:val="24"/>
          <w:lang w:val="en-GB"/>
        </w:rPr>
        <w:t xml:space="preserve"> Finland</w:t>
      </w:r>
      <w:r w:rsidRPr="00CE66BE">
        <w:rPr>
          <w:rFonts w:cstheme="minorHAnsi"/>
          <w:sz w:val="24"/>
          <w:szCs w:val="24"/>
          <w:lang w:val="en-GB"/>
        </w:rPr>
        <w:t>, Malta</w:t>
      </w:r>
      <w:r w:rsidR="009A689E" w:rsidRPr="00CE66BE">
        <w:rPr>
          <w:rFonts w:cstheme="minorHAnsi"/>
          <w:sz w:val="24"/>
          <w:szCs w:val="24"/>
          <w:lang w:val="en-GB"/>
        </w:rPr>
        <w:t xml:space="preserve"> and Ukraine appear as potential outliers.</w:t>
      </w:r>
    </w:p>
    <w:p w14:paraId="2FBE6E9C" w14:textId="77777777" w:rsidR="00F77BA8" w:rsidRDefault="00F77BA8" w:rsidP="00754F3C">
      <w:pPr>
        <w:spacing w:after="0" w:line="480" w:lineRule="auto"/>
        <w:rPr>
          <w:rFonts w:cstheme="minorHAnsi"/>
          <w:sz w:val="24"/>
          <w:szCs w:val="24"/>
          <w:lang w:val="en-GB"/>
        </w:rPr>
      </w:pPr>
    </w:p>
    <w:p w14:paraId="2EAF22AE" w14:textId="77777777" w:rsidR="00F77BA8" w:rsidRDefault="00F77BA8" w:rsidP="00754F3C">
      <w:pPr>
        <w:spacing w:after="0" w:line="480" w:lineRule="auto"/>
        <w:rPr>
          <w:rFonts w:cstheme="minorHAnsi"/>
          <w:sz w:val="24"/>
          <w:szCs w:val="24"/>
          <w:lang w:val="en-GB"/>
        </w:rPr>
      </w:pPr>
    </w:p>
    <w:p w14:paraId="034EF26C" w14:textId="6660E7F2" w:rsidR="00A23582" w:rsidRDefault="00670710" w:rsidP="00754F3C">
      <w:pPr>
        <w:spacing w:after="0" w:line="480" w:lineRule="auto"/>
        <w:rPr>
          <w:rFonts w:cstheme="minorHAnsi"/>
          <w:b/>
          <w:sz w:val="24"/>
          <w:szCs w:val="24"/>
          <w:lang w:val="en-GB"/>
        </w:rPr>
      </w:pPr>
      <w:r>
        <w:rPr>
          <w:rFonts w:cstheme="minorHAnsi"/>
          <w:b/>
          <w:sz w:val="24"/>
          <w:szCs w:val="24"/>
          <w:lang w:val="en-GB"/>
        </w:rPr>
        <w:t>COMMENT</w:t>
      </w:r>
    </w:p>
    <w:p w14:paraId="30D0F11F" w14:textId="74A19CB0" w:rsidR="00771BAE" w:rsidRPr="00CE66BE" w:rsidRDefault="00771BAE" w:rsidP="00754F3C">
      <w:pPr>
        <w:spacing w:after="0" w:line="480" w:lineRule="auto"/>
        <w:rPr>
          <w:rFonts w:cstheme="minorHAnsi"/>
          <w:b/>
          <w:sz w:val="24"/>
          <w:szCs w:val="24"/>
          <w:lang w:val="en-GB"/>
        </w:rPr>
      </w:pPr>
      <w:r>
        <w:rPr>
          <w:rFonts w:cstheme="minorHAnsi"/>
          <w:b/>
          <w:sz w:val="24"/>
          <w:szCs w:val="24"/>
          <w:lang w:val="en-GB"/>
        </w:rPr>
        <w:t>Principal findings</w:t>
      </w:r>
    </w:p>
    <w:p w14:paraId="01D69E7F" w14:textId="4540A8C8" w:rsidR="00771BAE" w:rsidRPr="000407C3" w:rsidRDefault="00CE3538" w:rsidP="00754F3C">
      <w:pPr>
        <w:spacing w:after="0" w:line="480" w:lineRule="auto"/>
        <w:rPr>
          <w:rFonts w:cstheme="minorHAnsi"/>
          <w:sz w:val="24"/>
          <w:szCs w:val="24"/>
          <w:lang w:val="en-GB"/>
        </w:rPr>
      </w:pPr>
      <w:r w:rsidRPr="00CE66BE">
        <w:rPr>
          <w:rFonts w:cstheme="minorHAnsi"/>
          <w:sz w:val="24"/>
          <w:szCs w:val="24"/>
          <w:lang w:val="en-GB"/>
        </w:rPr>
        <w:lastRenderedPageBreak/>
        <w:t xml:space="preserve">This study investigated survival across different European regions through the linkage of population-based CA registries data with mortality data </w:t>
      </w:r>
      <w:r w:rsidR="00AC2C80" w:rsidRPr="00CE66BE">
        <w:rPr>
          <w:rFonts w:cstheme="minorHAnsi"/>
          <w:sz w:val="24"/>
          <w:szCs w:val="24"/>
          <w:lang w:val="en-GB"/>
        </w:rPr>
        <w:t>for</w:t>
      </w:r>
      <w:r w:rsidRPr="00CE66BE">
        <w:rPr>
          <w:rFonts w:cstheme="minorHAnsi"/>
          <w:sz w:val="24"/>
          <w:szCs w:val="24"/>
          <w:lang w:val="en-GB"/>
        </w:rPr>
        <w:t xml:space="preserve"> the period 2005-2014</w:t>
      </w:r>
      <w:r w:rsidR="000407C3">
        <w:rPr>
          <w:rFonts w:cstheme="minorHAnsi"/>
          <w:sz w:val="24"/>
          <w:szCs w:val="24"/>
          <w:lang w:val="en-GB"/>
        </w:rPr>
        <w:t>.</w:t>
      </w:r>
      <w:r w:rsidR="000407C3" w:rsidRPr="000407C3">
        <w:rPr>
          <w:rStyle w:val="Enfasigrassetto"/>
          <w:rFonts w:cstheme="minorHAnsi"/>
          <w:b w:val="0"/>
          <w:sz w:val="24"/>
          <w:szCs w:val="24"/>
          <w:lang w:val="en-GB"/>
        </w:rPr>
        <w:t xml:space="preserve"> </w:t>
      </w:r>
      <w:r w:rsidR="000407C3" w:rsidRPr="000407C3">
        <w:rPr>
          <w:rFonts w:cstheme="minorHAnsi"/>
          <w:sz w:val="24"/>
          <w:szCs w:val="24"/>
          <w:lang w:val="en-GB"/>
        </w:rPr>
        <w:t>The overall risk of death by 1 year of age for children born with any major CA in 2005-2014 significantly decreased compared to 1995-2004 (HR 0.68</w:t>
      </w:r>
      <w:r w:rsidR="00394FB5">
        <w:rPr>
          <w:rFonts w:cstheme="minorHAnsi"/>
          <w:sz w:val="24"/>
          <w:szCs w:val="24"/>
          <w:lang w:val="en-GB"/>
        </w:rPr>
        <w:t>,</w:t>
      </w:r>
      <w:r w:rsidR="000407C3" w:rsidRPr="000407C3">
        <w:rPr>
          <w:rFonts w:cstheme="minorHAnsi"/>
          <w:sz w:val="24"/>
          <w:szCs w:val="24"/>
          <w:lang w:val="en-GB"/>
        </w:rPr>
        <w:t xml:space="preserve"> 95% CI 0.53</w:t>
      </w:r>
      <w:r w:rsidR="00394FB5">
        <w:rPr>
          <w:rFonts w:cstheme="minorHAnsi"/>
          <w:sz w:val="24"/>
          <w:szCs w:val="24"/>
          <w:lang w:val="en-GB"/>
        </w:rPr>
        <w:t xml:space="preserve">, </w:t>
      </w:r>
      <w:r w:rsidR="000407C3" w:rsidRPr="000407C3">
        <w:rPr>
          <w:rFonts w:cstheme="minorHAnsi"/>
          <w:sz w:val="24"/>
          <w:szCs w:val="24"/>
          <w:lang w:val="en-GB"/>
        </w:rPr>
        <w:t xml:space="preserve">0.89). </w:t>
      </w:r>
      <w:r w:rsidR="000407C3" w:rsidRPr="000407C3">
        <w:rPr>
          <w:rStyle w:val="Enfasigrassetto"/>
          <w:rFonts w:cstheme="minorHAnsi"/>
          <w:b w:val="0"/>
          <w:sz w:val="24"/>
          <w:szCs w:val="24"/>
          <w:lang w:val="en-GB"/>
        </w:rPr>
        <w:t xml:space="preserve">We observed a high variability in estimated survival across the European registries. </w:t>
      </w:r>
      <w:r w:rsidR="00771BAE" w:rsidRPr="000407C3">
        <w:rPr>
          <w:rFonts w:cstheme="minorHAnsi"/>
          <w:sz w:val="24"/>
          <w:szCs w:val="24"/>
          <w:lang w:val="en-GB"/>
        </w:rPr>
        <w:t xml:space="preserve">Survival at 5 years of age ranged between registries from 97.6% to 87.0%. </w:t>
      </w:r>
    </w:p>
    <w:p w14:paraId="78604378" w14:textId="77777777" w:rsidR="00771BAE" w:rsidRDefault="00771BAE" w:rsidP="00754F3C">
      <w:pPr>
        <w:spacing w:after="0" w:line="480" w:lineRule="auto"/>
        <w:rPr>
          <w:rFonts w:cstheme="minorHAnsi"/>
          <w:lang w:val="en-GB"/>
        </w:rPr>
      </w:pPr>
    </w:p>
    <w:p w14:paraId="094B3B82" w14:textId="1457246B" w:rsidR="00771BAE" w:rsidRPr="00CE66BE" w:rsidRDefault="000407C3" w:rsidP="00754F3C">
      <w:pPr>
        <w:autoSpaceDE w:val="0"/>
        <w:autoSpaceDN w:val="0"/>
        <w:adjustRightInd w:val="0"/>
        <w:spacing w:after="0" w:line="480" w:lineRule="auto"/>
        <w:rPr>
          <w:rFonts w:cstheme="minorHAnsi"/>
          <w:b/>
          <w:sz w:val="24"/>
          <w:szCs w:val="24"/>
          <w:lang w:val="en-GB"/>
        </w:rPr>
      </w:pPr>
      <w:r>
        <w:rPr>
          <w:rFonts w:cstheme="minorHAnsi"/>
          <w:b/>
          <w:sz w:val="24"/>
          <w:szCs w:val="24"/>
          <w:lang w:val="en-GB"/>
        </w:rPr>
        <w:t>S</w:t>
      </w:r>
      <w:r w:rsidR="00771BAE" w:rsidRPr="00CE66BE">
        <w:rPr>
          <w:rFonts w:cstheme="minorHAnsi"/>
          <w:b/>
          <w:sz w:val="24"/>
          <w:szCs w:val="24"/>
          <w:lang w:val="en-GB"/>
        </w:rPr>
        <w:t>trengths</w:t>
      </w:r>
      <w:r>
        <w:rPr>
          <w:rFonts w:cstheme="minorHAnsi"/>
          <w:b/>
          <w:sz w:val="24"/>
          <w:szCs w:val="24"/>
          <w:lang w:val="en-GB"/>
        </w:rPr>
        <w:t xml:space="preserve"> of the study</w:t>
      </w:r>
    </w:p>
    <w:p w14:paraId="2636A187" w14:textId="2234E713" w:rsidR="00771BAE" w:rsidRPr="00CE66BE" w:rsidRDefault="00771BAE" w:rsidP="00754F3C">
      <w:pPr>
        <w:autoSpaceDE w:val="0"/>
        <w:autoSpaceDN w:val="0"/>
        <w:adjustRightInd w:val="0"/>
        <w:spacing w:after="0" w:line="480" w:lineRule="auto"/>
        <w:rPr>
          <w:rFonts w:cstheme="minorHAnsi"/>
          <w:color w:val="000000"/>
          <w:sz w:val="24"/>
          <w:szCs w:val="24"/>
          <w:lang w:val="en-GB"/>
        </w:rPr>
      </w:pPr>
      <w:r w:rsidRPr="00CE66BE">
        <w:rPr>
          <w:rFonts w:cstheme="minorHAnsi"/>
          <w:color w:val="000000"/>
          <w:sz w:val="24"/>
          <w:szCs w:val="24"/>
          <w:lang w:val="en-GB"/>
        </w:rPr>
        <w:t>The main strength of this study is that population-based data from CA registries were linked to local mortality data sources and national/vital statistics using a standardised method developed within EUROlinkCAT</w:t>
      </w:r>
      <w:r w:rsidR="001338C6">
        <w:rPr>
          <w:rFonts w:cstheme="minorHAnsi"/>
          <w:color w:val="000000"/>
          <w:sz w:val="24"/>
          <w:szCs w:val="24"/>
          <w:vertAlign w:val="superscript"/>
          <w:lang w:val="en-GB"/>
        </w:rPr>
        <w:t>20</w:t>
      </w:r>
      <w:r w:rsidR="00935EBB" w:rsidRPr="00935EBB">
        <w:rPr>
          <w:rFonts w:cstheme="minorHAnsi"/>
          <w:color w:val="000000"/>
          <w:sz w:val="24"/>
          <w:szCs w:val="24"/>
          <w:lang w:val="en-GB"/>
        </w:rPr>
        <w:t>.</w:t>
      </w:r>
      <w:r w:rsidRPr="00935EBB">
        <w:rPr>
          <w:rFonts w:cstheme="minorHAnsi"/>
          <w:color w:val="000000"/>
          <w:sz w:val="24"/>
          <w:szCs w:val="24"/>
          <w:lang w:val="en-GB"/>
        </w:rPr>
        <w:t xml:space="preserve"> </w:t>
      </w:r>
      <w:r w:rsidRPr="00CE66BE">
        <w:rPr>
          <w:rFonts w:cstheme="minorHAnsi"/>
          <w:color w:val="000000"/>
          <w:sz w:val="24"/>
          <w:szCs w:val="24"/>
          <w:lang w:val="en-GB"/>
        </w:rPr>
        <w:t>This can be considered the most accurate approach for investigating survival of children born with CAs. Another strength is the inclusion of specialist high-quality CA data as the EUROCAT registries all follow standard procedures of coding and classification of CAs.</w:t>
      </w:r>
    </w:p>
    <w:p w14:paraId="18DF6D78" w14:textId="77777777" w:rsidR="00771BAE" w:rsidRPr="00CE66BE" w:rsidRDefault="00771BAE" w:rsidP="00754F3C">
      <w:pPr>
        <w:spacing w:after="0" w:line="480" w:lineRule="auto"/>
        <w:rPr>
          <w:rFonts w:cstheme="minorHAnsi"/>
          <w:sz w:val="24"/>
          <w:szCs w:val="24"/>
          <w:lang w:val="en-GB"/>
        </w:rPr>
      </w:pPr>
      <w:r w:rsidRPr="00CE66BE">
        <w:rPr>
          <w:rFonts w:cstheme="minorHAnsi"/>
          <w:color w:val="000000"/>
          <w:sz w:val="24"/>
          <w:szCs w:val="24"/>
          <w:lang w:val="en-GB"/>
        </w:rPr>
        <w:t xml:space="preserve">The study included data from 17 registries in 12 European countries and highlighted particular methodological issues which may be useful in future epidemiological studies investigating survival of children with CAs. </w:t>
      </w:r>
    </w:p>
    <w:p w14:paraId="4E775BA0" w14:textId="77777777" w:rsidR="00771BAE" w:rsidRPr="00CE66BE" w:rsidRDefault="00771BAE" w:rsidP="00754F3C">
      <w:pPr>
        <w:spacing w:after="0" w:line="480" w:lineRule="auto"/>
        <w:rPr>
          <w:rFonts w:cstheme="minorHAnsi"/>
          <w:sz w:val="24"/>
          <w:szCs w:val="24"/>
          <w:lang w:val="en-GB"/>
        </w:rPr>
      </w:pPr>
    </w:p>
    <w:p w14:paraId="5402EA75" w14:textId="15C7195A" w:rsidR="00771BAE" w:rsidRDefault="00771BAE" w:rsidP="00754F3C">
      <w:pPr>
        <w:spacing w:after="0" w:line="480" w:lineRule="auto"/>
        <w:rPr>
          <w:rFonts w:cstheme="minorHAnsi"/>
          <w:b/>
          <w:sz w:val="24"/>
          <w:szCs w:val="24"/>
          <w:lang w:val="en-GB"/>
        </w:rPr>
      </w:pPr>
      <w:r w:rsidRPr="00CE66BE">
        <w:rPr>
          <w:rFonts w:cstheme="minorHAnsi"/>
          <w:b/>
          <w:sz w:val="24"/>
          <w:szCs w:val="24"/>
          <w:lang w:val="en-GB"/>
        </w:rPr>
        <w:t xml:space="preserve"> </w:t>
      </w:r>
      <w:r w:rsidR="000407C3">
        <w:rPr>
          <w:rFonts w:cstheme="minorHAnsi"/>
          <w:b/>
          <w:sz w:val="24"/>
          <w:szCs w:val="24"/>
          <w:lang w:val="en-GB"/>
        </w:rPr>
        <w:t>L</w:t>
      </w:r>
      <w:r w:rsidRPr="00CE66BE">
        <w:rPr>
          <w:rFonts w:cstheme="minorHAnsi"/>
          <w:b/>
          <w:sz w:val="24"/>
          <w:szCs w:val="24"/>
          <w:lang w:val="en-GB"/>
        </w:rPr>
        <w:t>imitations</w:t>
      </w:r>
      <w:r w:rsidR="000407C3">
        <w:rPr>
          <w:rFonts w:cstheme="minorHAnsi"/>
          <w:b/>
          <w:sz w:val="24"/>
          <w:szCs w:val="24"/>
          <w:lang w:val="en-GB"/>
        </w:rPr>
        <w:t xml:space="preserve"> of the data</w:t>
      </w:r>
    </w:p>
    <w:p w14:paraId="0EE96279" w14:textId="0557EAFA" w:rsidR="00771BAE" w:rsidRPr="001338C6" w:rsidRDefault="00181AC1" w:rsidP="00754F3C">
      <w:pPr>
        <w:spacing w:after="0" w:line="480" w:lineRule="auto"/>
        <w:rPr>
          <w:rFonts w:cstheme="minorHAnsi"/>
          <w:b/>
          <w:sz w:val="24"/>
          <w:szCs w:val="24"/>
          <w:lang w:val="en-GB"/>
        </w:rPr>
      </w:pPr>
      <w:r>
        <w:rPr>
          <w:rFonts w:cstheme="minorHAnsi"/>
          <w:sz w:val="24"/>
          <w:szCs w:val="24"/>
          <w:lang w:val="en-GB"/>
        </w:rPr>
        <w:t xml:space="preserve">Poor linkage success could bias the survival estimates and hence data from individual registries were only included if the linkage was above 85% and for most registries it was above 95%. </w:t>
      </w:r>
      <w:r w:rsidR="00FA6B88">
        <w:rPr>
          <w:rFonts w:cstheme="minorHAnsi"/>
          <w:sz w:val="24"/>
          <w:szCs w:val="24"/>
          <w:lang w:val="en-GB"/>
        </w:rPr>
        <w:t xml:space="preserve">Loss to follow-up due to emigration could </w:t>
      </w:r>
      <w:r w:rsidR="00830AB7">
        <w:rPr>
          <w:rFonts w:cstheme="minorHAnsi"/>
          <w:sz w:val="24"/>
          <w:szCs w:val="24"/>
          <w:lang w:val="en-GB"/>
        </w:rPr>
        <w:t xml:space="preserve">also </w:t>
      </w:r>
      <w:r w:rsidR="00FA6B88">
        <w:rPr>
          <w:rFonts w:cstheme="minorHAnsi"/>
          <w:sz w:val="24"/>
          <w:szCs w:val="24"/>
          <w:lang w:val="en-GB"/>
        </w:rPr>
        <w:t xml:space="preserve">induce bias. However, </w:t>
      </w:r>
      <w:r w:rsidR="00FA6B88">
        <w:rPr>
          <w:rFonts w:cstheme="minorHAnsi"/>
          <w:color w:val="000000"/>
          <w:sz w:val="24"/>
          <w:szCs w:val="24"/>
          <w:lang w:val="en-GB"/>
        </w:rPr>
        <w:t>in our study populations, t</w:t>
      </w:r>
      <w:r w:rsidR="00FA6B88" w:rsidRPr="002B08D5">
        <w:rPr>
          <w:rFonts w:cstheme="minorHAnsi"/>
          <w:color w:val="000000"/>
          <w:sz w:val="24"/>
          <w:szCs w:val="24"/>
          <w:lang w:val="en-GB"/>
        </w:rPr>
        <w:t>he proportion of births lost to follow-up was under 2% for most of the registries</w:t>
      </w:r>
      <w:r w:rsidR="00FA6B88">
        <w:rPr>
          <w:rFonts w:cstheme="minorHAnsi"/>
          <w:color w:val="000000"/>
          <w:sz w:val="24"/>
          <w:szCs w:val="24"/>
          <w:lang w:val="en-GB"/>
        </w:rPr>
        <w:t>,</w:t>
      </w:r>
      <w:r w:rsidR="00FA6B88" w:rsidRPr="002B08D5">
        <w:rPr>
          <w:rFonts w:cstheme="minorHAnsi"/>
          <w:color w:val="000000"/>
          <w:sz w:val="24"/>
          <w:szCs w:val="24"/>
          <w:lang w:val="en-GB"/>
        </w:rPr>
        <w:t xml:space="preserve"> </w:t>
      </w:r>
      <w:r w:rsidR="00FA6B88">
        <w:rPr>
          <w:rFonts w:cstheme="minorHAnsi"/>
          <w:color w:val="000000"/>
          <w:sz w:val="24"/>
          <w:szCs w:val="24"/>
          <w:lang w:val="en-GB"/>
        </w:rPr>
        <w:t>although</w:t>
      </w:r>
      <w:r w:rsidR="00FA6B88" w:rsidRPr="002B08D5">
        <w:rPr>
          <w:rFonts w:cstheme="minorHAnsi"/>
          <w:color w:val="000000"/>
          <w:sz w:val="24"/>
          <w:szCs w:val="24"/>
          <w:lang w:val="en-GB"/>
        </w:rPr>
        <w:t xml:space="preserve"> it wa</w:t>
      </w:r>
      <w:r w:rsidR="00FA6B88">
        <w:rPr>
          <w:rFonts w:cstheme="minorHAnsi"/>
          <w:color w:val="000000"/>
          <w:sz w:val="24"/>
          <w:szCs w:val="24"/>
          <w:lang w:val="en-GB"/>
        </w:rPr>
        <w:t>s higher for the UK registries (under 10%).</w:t>
      </w:r>
      <w:r w:rsidR="001338C6" w:rsidRPr="001338C6">
        <w:rPr>
          <w:rFonts w:cstheme="minorHAnsi"/>
          <w:color w:val="000000"/>
          <w:sz w:val="24"/>
          <w:szCs w:val="24"/>
          <w:vertAlign w:val="superscript"/>
          <w:lang w:val="en-GB"/>
        </w:rPr>
        <w:t>25</w:t>
      </w:r>
    </w:p>
    <w:p w14:paraId="2A7378E0" w14:textId="77777777" w:rsidR="00771BAE" w:rsidRPr="00CE66BE" w:rsidRDefault="00771BAE" w:rsidP="00754F3C">
      <w:pPr>
        <w:spacing w:after="0" w:line="480" w:lineRule="auto"/>
        <w:rPr>
          <w:rFonts w:cstheme="minorHAnsi"/>
          <w:sz w:val="24"/>
          <w:szCs w:val="24"/>
          <w:lang w:val="en-GB"/>
        </w:rPr>
      </w:pPr>
      <w:r w:rsidRPr="00CE66BE">
        <w:rPr>
          <w:rFonts w:cstheme="minorHAnsi"/>
          <w:sz w:val="24"/>
          <w:szCs w:val="24"/>
          <w:lang w:val="en-GB"/>
        </w:rPr>
        <w:lastRenderedPageBreak/>
        <w:t>A limitation for the investigation of geographical differences is the lack of representation of registries from throughout Europe, with some areas poorly represented, particularly Eastern Europe.</w:t>
      </w:r>
    </w:p>
    <w:p w14:paraId="2AF0F6B4" w14:textId="18DE38BD" w:rsidR="00771BAE" w:rsidRPr="00CE66BE" w:rsidRDefault="00771BAE" w:rsidP="00754F3C">
      <w:pPr>
        <w:spacing w:after="0" w:line="480" w:lineRule="auto"/>
        <w:rPr>
          <w:rFonts w:cstheme="minorHAnsi"/>
          <w:sz w:val="24"/>
          <w:szCs w:val="24"/>
          <w:lang w:val="en-GB"/>
        </w:rPr>
      </w:pPr>
      <w:r w:rsidRPr="00CE66BE">
        <w:rPr>
          <w:rFonts w:cstheme="minorHAnsi"/>
          <w:sz w:val="24"/>
          <w:szCs w:val="24"/>
          <w:lang w:val="en-GB"/>
        </w:rPr>
        <w:t>Although the participating registries were all members of an established network that employs common guidelines of registration</w:t>
      </w:r>
      <w:r w:rsidR="001338C6">
        <w:rPr>
          <w:rFonts w:cstheme="minorHAnsi"/>
          <w:sz w:val="24"/>
          <w:szCs w:val="24"/>
          <w:vertAlign w:val="superscript"/>
          <w:lang w:val="en-GB"/>
        </w:rPr>
        <w:t>24</w:t>
      </w:r>
      <w:r w:rsidRPr="00CE66BE">
        <w:rPr>
          <w:rFonts w:cstheme="minorHAnsi"/>
          <w:sz w:val="24"/>
          <w:szCs w:val="24"/>
          <w:lang w:val="en-GB"/>
        </w:rPr>
        <w:t>, some differences in exclusion/inclusion criteria exist, which may have impacted on survival estimates. However, analysing more specific subgroups of CAs can overcome differences in inclusion/exclusion criteria.</w:t>
      </w:r>
    </w:p>
    <w:p w14:paraId="3D53E99B" w14:textId="77777777" w:rsidR="00771BAE" w:rsidRPr="00CE66BE" w:rsidRDefault="00771BAE" w:rsidP="00754F3C">
      <w:pPr>
        <w:spacing w:after="0" w:line="480" w:lineRule="auto"/>
        <w:rPr>
          <w:rFonts w:cstheme="minorHAnsi"/>
          <w:sz w:val="24"/>
          <w:szCs w:val="24"/>
          <w:lang w:val="en-GB"/>
        </w:rPr>
      </w:pPr>
    </w:p>
    <w:p w14:paraId="6CE794E1" w14:textId="4E078847" w:rsidR="00AC2C80" w:rsidRDefault="000407C3" w:rsidP="00754F3C">
      <w:pPr>
        <w:spacing w:after="0" w:line="480" w:lineRule="auto"/>
        <w:rPr>
          <w:rFonts w:cstheme="minorHAnsi"/>
          <w:b/>
          <w:sz w:val="24"/>
          <w:szCs w:val="24"/>
          <w:lang w:val="en-GB"/>
        </w:rPr>
      </w:pPr>
      <w:r>
        <w:rPr>
          <w:rFonts w:cstheme="minorHAnsi"/>
          <w:b/>
          <w:sz w:val="24"/>
          <w:szCs w:val="24"/>
          <w:lang w:val="en-GB"/>
        </w:rPr>
        <w:t>Interpretation</w:t>
      </w:r>
    </w:p>
    <w:p w14:paraId="3053C28E" w14:textId="6B6716EE" w:rsidR="006F2419" w:rsidRPr="004749DB" w:rsidRDefault="00312D9C" w:rsidP="00754F3C">
      <w:pPr>
        <w:spacing w:after="0" w:line="480" w:lineRule="auto"/>
        <w:rPr>
          <w:rFonts w:cstheme="minorHAnsi"/>
          <w:i/>
          <w:sz w:val="24"/>
          <w:szCs w:val="24"/>
          <w:lang w:val="en-GB"/>
        </w:rPr>
      </w:pPr>
      <w:r w:rsidRPr="004749DB">
        <w:rPr>
          <w:rFonts w:cstheme="minorHAnsi"/>
          <w:i/>
          <w:sz w:val="24"/>
          <w:szCs w:val="24"/>
          <w:lang w:val="en-GB"/>
        </w:rPr>
        <w:t xml:space="preserve">Temporal </w:t>
      </w:r>
      <w:r w:rsidR="007D4CA4" w:rsidRPr="004749DB">
        <w:rPr>
          <w:rFonts w:cstheme="minorHAnsi"/>
          <w:i/>
          <w:sz w:val="24"/>
          <w:szCs w:val="24"/>
          <w:lang w:val="en-GB"/>
        </w:rPr>
        <w:t>variation</w:t>
      </w:r>
    </w:p>
    <w:p w14:paraId="46C38B1C" w14:textId="248396F6" w:rsidR="001A499B" w:rsidRPr="00CE66BE" w:rsidRDefault="00D61813" w:rsidP="00754F3C">
      <w:pPr>
        <w:autoSpaceDE w:val="0"/>
        <w:autoSpaceDN w:val="0"/>
        <w:adjustRightInd w:val="0"/>
        <w:spacing w:after="0" w:line="480" w:lineRule="auto"/>
        <w:rPr>
          <w:rFonts w:cstheme="minorHAnsi"/>
          <w:sz w:val="24"/>
          <w:szCs w:val="24"/>
          <w:lang w:val="en-GB"/>
        </w:rPr>
      </w:pPr>
      <w:r w:rsidRPr="00CE66BE">
        <w:rPr>
          <w:rFonts w:cstheme="minorHAnsi"/>
          <w:sz w:val="24"/>
          <w:szCs w:val="24"/>
          <w:lang w:val="en-GB"/>
        </w:rPr>
        <w:t xml:space="preserve">The </w:t>
      </w:r>
      <w:r w:rsidR="00970B4D" w:rsidRPr="00CE66BE">
        <w:rPr>
          <w:rFonts w:cstheme="minorHAnsi"/>
          <w:sz w:val="24"/>
          <w:szCs w:val="24"/>
          <w:lang w:val="en-GB"/>
        </w:rPr>
        <w:t xml:space="preserve">risk of </w:t>
      </w:r>
      <w:r w:rsidRPr="00CE66BE">
        <w:rPr>
          <w:rFonts w:cstheme="minorHAnsi"/>
          <w:sz w:val="24"/>
          <w:szCs w:val="24"/>
          <w:lang w:val="en-GB"/>
        </w:rPr>
        <w:t xml:space="preserve">mortality </w:t>
      </w:r>
      <w:r w:rsidR="00970B4D" w:rsidRPr="00CE66BE">
        <w:rPr>
          <w:rFonts w:cstheme="minorHAnsi"/>
          <w:sz w:val="24"/>
          <w:szCs w:val="24"/>
          <w:lang w:val="en-GB"/>
        </w:rPr>
        <w:t xml:space="preserve">was lower for </w:t>
      </w:r>
      <w:r w:rsidR="00C60A4B" w:rsidRPr="00CE66BE">
        <w:rPr>
          <w:rFonts w:cstheme="minorHAnsi"/>
          <w:sz w:val="24"/>
          <w:szCs w:val="24"/>
          <w:lang w:val="en-GB"/>
        </w:rPr>
        <w:t>‘</w:t>
      </w:r>
      <w:r w:rsidR="00970B4D" w:rsidRPr="00CE66BE">
        <w:rPr>
          <w:rFonts w:cstheme="minorHAnsi"/>
          <w:sz w:val="24"/>
          <w:szCs w:val="24"/>
          <w:lang w:val="en-GB"/>
        </w:rPr>
        <w:t xml:space="preserve">All anomalies’ live births </w:t>
      </w:r>
      <w:r w:rsidR="00400420" w:rsidRPr="00CE66BE">
        <w:rPr>
          <w:rFonts w:cstheme="minorHAnsi"/>
          <w:sz w:val="24"/>
          <w:szCs w:val="24"/>
          <w:lang w:val="en-GB"/>
        </w:rPr>
        <w:t>during</w:t>
      </w:r>
      <w:r w:rsidR="00400954" w:rsidRPr="00CE66BE">
        <w:rPr>
          <w:rFonts w:cstheme="minorHAnsi"/>
          <w:sz w:val="24"/>
          <w:szCs w:val="24"/>
          <w:lang w:val="en-GB"/>
        </w:rPr>
        <w:t xml:space="preserve"> the period</w:t>
      </w:r>
      <w:r w:rsidR="006B24DF" w:rsidRPr="00CE66BE">
        <w:rPr>
          <w:rFonts w:cstheme="minorHAnsi"/>
          <w:sz w:val="24"/>
          <w:szCs w:val="24"/>
          <w:lang w:val="en-GB"/>
        </w:rPr>
        <w:t xml:space="preserve"> 2005-2014</w:t>
      </w:r>
      <w:r w:rsidR="00970B4D" w:rsidRPr="00CE66BE">
        <w:rPr>
          <w:rFonts w:cstheme="minorHAnsi"/>
          <w:sz w:val="24"/>
          <w:szCs w:val="24"/>
          <w:lang w:val="en-GB"/>
        </w:rPr>
        <w:t xml:space="preserve"> compared to those in 1995-2004</w:t>
      </w:r>
      <w:r w:rsidRPr="00CE66BE">
        <w:rPr>
          <w:rFonts w:cstheme="minorHAnsi"/>
          <w:sz w:val="24"/>
          <w:szCs w:val="24"/>
          <w:lang w:val="en-GB"/>
        </w:rPr>
        <w:t xml:space="preserve">, in particular </w:t>
      </w:r>
      <w:r w:rsidR="00625DEE" w:rsidRPr="00CE66BE">
        <w:rPr>
          <w:rFonts w:cstheme="minorHAnsi"/>
          <w:sz w:val="24"/>
          <w:szCs w:val="24"/>
          <w:lang w:val="en-GB"/>
        </w:rPr>
        <w:t>for infant mortality</w:t>
      </w:r>
      <w:r w:rsidRPr="00CE66BE">
        <w:rPr>
          <w:rFonts w:cstheme="minorHAnsi"/>
          <w:sz w:val="24"/>
          <w:szCs w:val="24"/>
          <w:lang w:val="en-GB"/>
        </w:rPr>
        <w:t xml:space="preserve">. This result is consistent with the improvement in survival of children with specific </w:t>
      </w:r>
      <w:r w:rsidR="009B6721" w:rsidRPr="00CE66BE">
        <w:rPr>
          <w:rFonts w:cstheme="minorHAnsi"/>
          <w:sz w:val="24"/>
          <w:szCs w:val="24"/>
          <w:lang w:val="en-GB"/>
        </w:rPr>
        <w:t>CA</w:t>
      </w:r>
      <w:r w:rsidR="006D3AB4" w:rsidRPr="00CE66BE">
        <w:rPr>
          <w:rFonts w:cstheme="minorHAnsi"/>
          <w:sz w:val="24"/>
          <w:szCs w:val="24"/>
          <w:lang w:val="en-GB"/>
        </w:rPr>
        <w:t>s</w:t>
      </w:r>
      <w:r w:rsidRPr="00CE66BE">
        <w:rPr>
          <w:rFonts w:cstheme="minorHAnsi"/>
          <w:sz w:val="24"/>
          <w:szCs w:val="24"/>
          <w:lang w:val="en-GB"/>
        </w:rPr>
        <w:t xml:space="preserve"> </w:t>
      </w:r>
      <w:r w:rsidR="00E17063" w:rsidRPr="00CE66BE">
        <w:rPr>
          <w:rFonts w:cstheme="minorHAnsi"/>
          <w:sz w:val="24"/>
          <w:szCs w:val="24"/>
          <w:lang w:val="en-GB"/>
        </w:rPr>
        <w:t>in different countries, including Europe, reported in a recent systema</w:t>
      </w:r>
      <w:r w:rsidR="00935EBB">
        <w:rPr>
          <w:rFonts w:cstheme="minorHAnsi"/>
          <w:sz w:val="24"/>
          <w:szCs w:val="24"/>
          <w:lang w:val="en-GB"/>
        </w:rPr>
        <w:t xml:space="preserve">tic review by Glinianaia </w:t>
      </w:r>
      <w:proofErr w:type="gramStart"/>
      <w:r w:rsidR="00935EBB">
        <w:rPr>
          <w:rFonts w:cstheme="minorHAnsi"/>
          <w:sz w:val="24"/>
          <w:szCs w:val="24"/>
          <w:lang w:val="en-GB"/>
        </w:rPr>
        <w:t>et</w:t>
      </w:r>
      <w:proofErr w:type="gramEnd"/>
      <w:r w:rsidR="00935EBB">
        <w:rPr>
          <w:rFonts w:cstheme="minorHAnsi"/>
          <w:sz w:val="24"/>
          <w:szCs w:val="24"/>
          <w:lang w:val="en-GB"/>
        </w:rPr>
        <w:t xml:space="preserve"> al.</w:t>
      </w:r>
      <w:r w:rsidR="00935EBB" w:rsidRPr="00935EBB">
        <w:rPr>
          <w:rFonts w:cstheme="minorHAnsi"/>
          <w:sz w:val="24"/>
          <w:szCs w:val="24"/>
          <w:vertAlign w:val="superscript"/>
          <w:lang w:val="en-GB"/>
        </w:rPr>
        <w:t>10</w:t>
      </w:r>
    </w:p>
    <w:p w14:paraId="051D1A70" w14:textId="74E575FF" w:rsidR="00560245" w:rsidRDefault="00B62A8D" w:rsidP="00754F3C">
      <w:pPr>
        <w:autoSpaceDE w:val="0"/>
        <w:autoSpaceDN w:val="0"/>
        <w:adjustRightInd w:val="0"/>
        <w:spacing w:after="0" w:line="480" w:lineRule="auto"/>
        <w:rPr>
          <w:rFonts w:cstheme="minorHAnsi"/>
          <w:sz w:val="24"/>
          <w:szCs w:val="24"/>
          <w:vertAlign w:val="superscript"/>
          <w:lang w:val="en-GB"/>
        </w:rPr>
      </w:pPr>
      <w:proofErr w:type="gramStart"/>
      <w:r w:rsidRPr="00B62A8D">
        <w:rPr>
          <w:rFonts w:cstheme="minorHAnsi"/>
          <w:sz w:val="24"/>
          <w:szCs w:val="24"/>
          <w:lang w:val="en-GB"/>
        </w:rPr>
        <w:t xml:space="preserve">, </w:t>
      </w:r>
      <w:r w:rsidR="00E5620C" w:rsidRPr="00CE66BE">
        <w:rPr>
          <w:rFonts w:cstheme="minorHAnsi"/>
          <w:sz w:val="24"/>
          <w:szCs w:val="24"/>
          <w:lang w:val="en-GB"/>
        </w:rPr>
        <w:t xml:space="preserve"> </w:t>
      </w:r>
      <w:r w:rsidR="005500A2" w:rsidRPr="00CE66BE">
        <w:rPr>
          <w:rFonts w:cstheme="minorHAnsi"/>
          <w:sz w:val="24"/>
          <w:szCs w:val="24"/>
          <w:lang w:val="en-GB"/>
        </w:rPr>
        <w:t>As</w:t>
      </w:r>
      <w:proofErr w:type="gramEnd"/>
      <w:r w:rsidR="005500A2" w:rsidRPr="00CE66BE">
        <w:rPr>
          <w:rFonts w:cstheme="minorHAnsi"/>
          <w:sz w:val="24"/>
          <w:szCs w:val="24"/>
          <w:lang w:val="en-GB"/>
        </w:rPr>
        <w:t xml:space="preserve"> </w:t>
      </w:r>
      <w:r w:rsidR="00E5620C" w:rsidRPr="00CE66BE">
        <w:rPr>
          <w:rFonts w:cstheme="minorHAnsi"/>
          <w:sz w:val="24"/>
          <w:szCs w:val="24"/>
          <w:lang w:val="en-GB"/>
        </w:rPr>
        <w:t xml:space="preserve">TOPFA </w:t>
      </w:r>
      <w:r w:rsidR="005500A2" w:rsidRPr="00CE66BE">
        <w:rPr>
          <w:rFonts w:cstheme="minorHAnsi"/>
          <w:sz w:val="24"/>
          <w:szCs w:val="24"/>
          <w:lang w:val="en-GB"/>
        </w:rPr>
        <w:t xml:space="preserve">is associated with </w:t>
      </w:r>
      <w:r w:rsidR="00BD4F21" w:rsidRPr="00CE66BE">
        <w:rPr>
          <w:rFonts w:cstheme="minorHAnsi"/>
          <w:sz w:val="24"/>
          <w:szCs w:val="24"/>
          <w:lang w:val="en-GB"/>
        </w:rPr>
        <w:t>severe CAs</w:t>
      </w:r>
      <w:r w:rsidR="005500A2" w:rsidRPr="00CE66BE">
        <w:rPr>
          <w:rFonts w:cstheme="minorHAnsi"/>
          <w:sz w:val="24"/>
          <w:szCs w:val="24"/>
          <w:lang w:val="en-GB"/>
        </w:rPr>
        <w:t>, it</w:t>
      </w:r>
      <w:r w:rsidR="00226DAE" w:rsidRPr="00CE66BE">
        <w:rPr>
          <w:rFonts w:cstheme="minorHAnsi"/>
          <w:sz w:val="24"/>
          <w:szCs w:val="24"/>
          <w:lang w:val="en-GB"/>
        </w:rPr>
        <w:t>s occurrence</w:t>
      </w:r>
      <w:r w:rsidR="005500A2" w:rsidRPr="00CE66BE">
        <w:rPr>
          <w:rFonts w:cstheme="minorHAnsi"/>
          <w:sz w:val="24"/>
          <w:szCs w:val="24"/>
          <w:lang w:val="en-GB"/>
        </w:rPr>
        <w:t xml:space="preserve"> influences the </w:t>
      </w:r>
      <w:r w:rsidR="00050BFB" w:rsidRPr="00CE66BE">
        <w:rPr>
          <w:rFonts w:cstheme="minorHAnsi"/>
          <w:sz w:val="24"/>
          <w:szCs w:val="24"/>
          <w:lang w:val="en-GB"/>
        </w:rPr>
        <w:t>size</w:t>
      </w:r>
      <w:r w:rsidR="005500A2" w:rsidRPr="00CE66BE">
        <w:rPr>
          <w:rFonts w:cstheme="minorHAnsi"/>
          <w:sz w:val="24"/>
          <w:szCs w:val="24"/>
          <w:lang w:val="en-GB"/>
        </w:rPr>
        <w:t xml:space="preserve"> and the characteristics of the cohort of live</w:t>
      </w:r>
      <w:r w:rsidR="004D1456" w:rsidRPr="00CE66BE">
        <w:rPr>
          <w:rFonts w:cstheme="minorHAnsi"/>
          <w:sz w:val="24"/>
          <w:szCs w:val="24"/>
          <w:lang w:val="en-GB"/>
        </w:rPr>
        <w:t xml:space="preserve"> born</w:t>
      </w:r>
      <w:r w:rsidR="005500A2" w:rsidRPr="00CE66BE">
        <w:rPr>
          <w:rFonts w:cstheme="minorHAnsi"/>
          <w:sz w:val="24"/>
          <w:szCs w:val="24"/>
          <w:lang w:val="en-GB"/>
        </w:rPr>
        <w:t xml:space="preserve"> </w:t>
      </w:r>
      <w:r w:rsidR="00351244" w:rsidRPr="00CE66BE">
        <w:rPr>
          <w:rFonts w:cstheme="minorHAnsi"/>
          <w:sz w:val="24"/>
          <w:szCs w:val="24"/>
          <w:lang w:val="en-GB"/>
        </w:rPr>
        <w:t>children</w:t>
      </w:r>
      <w:r w:rsidR="005500A2" w:rsidRPr="00CE66BE">
        <w:rPr>
          <w:rFonts w:cstheme="minorHAnsi"/>
          <w:sz w:val="24"/>
          <w:szCs w:val="24"/>
          <w:lang w:val="en-GB"/>
        </w:rPr>
        <w:t xml:space="preserve"> investigated in a survival study</w:t>
      </w:r>
      <w:r w:rsidR="00BD4F21" w:rsidRPr="00CE66BE">
        <w:rPr>
          <w:rFonts w:cstheme="minorHAnsi"/>
          <w:sz w:val="24"/>
          <w:szCs w:val="24"/>
          <w:lang w:val="en-GB"/>
        </w:rPr>
        <w:t xml:space="preserve">. </w:t>
      </w:r>
      <w:r>
        <w:rPr>
          <w:rFonts w:cstheme="minorHAnsi"/>
          <w:sz w:val="24"/>
          <w:szCs w:val="24"/>
          <w:lang w:val="en-GB"/>
        </w:rPr>
        <w:t xml:space="preserve">A previous study estimated that </w:t>
      </w:r>
      <w:r w:rsidRPr="00B62A8D">
        <w:rPr>
          <w:rFonts w:cstheme="minorHAnsi"/>
          <w:sz w:val="24"/>
          <w:szCs w:val="24"/>
          <w:lang w:val="en-GB"/>
        </w:rPr>
        <w:t>prevalence of TOPFA accounted for 75.5% of the between-country variation in perinatal mortality</w:t>
      </w:r>
      <w:r>
        <w:rPr>
          <w:rFonts w:cstheme="minorHAnsi"/>
          <w:sz w:val="24"/>
          <w:szCs w:val="24"/>
          <w:lang w:val="en-GB"/>
        </w:rPr>
        <w:t xml:space="preserve"> in EUROCAT registries</w:t>
      </w:r>
      <w:r w:rsidRPr="00CE66BE">
        <w:rPr>
          <w:rFonts w:cstheme="minorHAnsi"/>
          <w:sz w:val="24"/>
          <w:szCs w:val="24"/>
          <w:lang w:val="en-GB"/>
        </w:rPr>
        <w:t xml:space="preserve"> </w:t>
      </w:r>
      <w:r w:rsidR="00331079">
        <w:rPr>
          <w:rFonts w:cstheme="minorHAnsi"/>
          <w:sz w:val="24"/>
          <w:szCs w:val="24"/>
          <w:vertAlign w:val="superscript"/>
          <w:lang w:val="en-GB"/>
        </w:rPr>
        <w:t>26</w:t>
      </w:r>
      <w:r w:rsidRPr="00CE66BE">
        <w:rPr>
          <w:rFonts w:cstheme="minorHAnsi"/>
          <w:sz w:val="24"/>
          <w:szCs w:val="24"/>
          <w:lang w:val="en-GB"/>
        </w:rPr>
        <w:t xml:space="preserve"> </w:t>
      </w:r>
      <w:r w:rsidR="00E10F4F">
        <w:rPr>
          <w:rFonts w:cstheme="minorHAnsi"/>
          <w:sz w:val="24"/>
          <w:szCs w:val="24"/>
          <w:lang w:val="en-GB"/>
        </w:rPr>
        <w:t xml:space="preserve">Seven of the </w:t>
      </w:r>
      <w:r w:rsidR="00835666">
        <w:rPr>
          <w:rFonts w:cstheme="minorHAnsi"/>
          <w:sz w:val="24"/>
          <w:szCs w:val="24"/>
          <w:lang w:val="en-GB"/>
        </w:rPr>
        <w:t xml:space="preserve">nine registries able to compare mortality in </w:t>
      </w:r>
      <w:r w:rsidR="00835666" w:rsidRPr="00D958C1">
        <w:rPr>
          <w:rFonts w:cstheme="minorHAnsi"/>
          <w:sz w:val="24"/>
          <w:szCs w:val="24"/>
          <w:lang w:val="en-GB"/>
        </w:rPr>
        <w:t xml:space="preserve">birth year periods 2005-2014 </w:t>
      </w:r>
      <w:r w:rsidR="00793341" w:rsidRPr="00D958C1">
        <w:rPr>
          <w:rFonts w:cstheme="minorHAnsi"/>
          <w:sz w:val="24"/>
          <w:szCs w:val="24"/>
          <w:lang w:val="en-GB"/>
        </w:rPr>
        <w:t>and</w:t>
      </w:r>
      <w:r w:rsidR="00835666" w:rsidRPr="00D958C1">
        <w:rPr>
          <w:rFonts w:cstheme="minorHAnsi"/>
          <w:sz w:val="24"/>
          <w:szCs w:val="24"/>
          <w:lang w:val="en-GB"/>
        </w:rPr>
        <w:t xml:space="preserve"> 1995-2004</w:t>
      </w:r>
      <w:r w:rsidR="00835666" w:rsidRPr="00CE66BE">
        <w:rPr>
          <w:rFonts w:cstheme="minorHAnsi"/>
          <w:lang w:val="en-GB"/>
        </w:rPr>
        <w:t xml:space="preserve"> </w:t>
      </w:r>
      <w:r w:rsidR="00793341">
        <w:rPr>
          <w:rFonts w:cstheme="minorHAnsi"/>
          <w:lang w:val="en-GB"/>
        </w:rPr>
        <w:t xml:space="preserve"> </w:t>
      </w:r>
      <w:r w:rsidR="00E10F4F" w:rsidRPr="00355577">
        <w:rPr>
          <w:rFonts w:cstheme="minorHAnsi"/>
          <w:sz w:val="24"/>
          <w:szCs w:val="24"/>
          <w:lang w:val="en-GB"/>
        </w:rPr>
        <w:t>did experience an increase in TOPFA rates between the two time periods</w:t>
      </w:r>
      <w:r w:rsidR="00E10F4F">
        <w:rPr>
          <w:rFonts w:cstheme="minorHAnsi"/>
          <w:lang w:val="en-GB"/>
        </w:rPr>
        <w:t xml:space="preserve"> (</w:t>
      </w:r>
      <w:r w:rsidR="00E10F4F">
        <w:rPr>
          <w:rFonts w:cstheme="minorHAnsi"/>
          <w:sz w:val="24"/>
          <w:szCs w:val="24"/>
          <w:lang w:val="en-GB"/>
        </w:rPr>
        <w:t>TOPFA rates from the EUROCAT website</w:t>
      </w:r>
      <w:r w:rsidR="00331079">
        <w:rPr>
          <w:rFonts w:cstheme="minorHAnsi"/>
          <w:sz w:val="24"/>
          <w:szCs w:val="24"/>
          <w:vertAlign w:val="superscript"/>
          <w:lang w:val="en-GB"/>
        </w:rPr>
        <w:t>27</w:t>
      </w:r>
      <w:r w:rsidR="00E10F4F">
        <w:rPr>
          <w:rFonts w:cstheme="minorHAnsi"/>
          <w:sz w:val="24"/>
          <w:szCs w:val="24"/>
          <w:lang w:val="en-GB"/>
        </w:rPr>
        <w:t>)_and t</w:t>
      </w:r>
      <w:r w:rsidR="00793341">
        <w:rPr>
          <w:rFonts w:cstheme="minorHAnsi"/>
          <w:sz w:val="24"/>
          <w:szCs w:val="24"/>
          <w:lang w:val="en-GB"/>
        </w:rPr>
        <w:t>here was a clear association with the  decreased hazard ratios (</w:t>
      </w:r>
      <w:r w:rsidR="009F6775">
        <w:rPr>
          <w:rFonts w:cstheme="minorHAnsi"/>
          <w:sz w:val="24"/>
          <w:szCs w:val="24"/>
          <w:lang w:val="en-GB"/>
        </w:rPr>
        <w:t>T</w:t>
      </w:r>
      <w:r w:rsidR="00793341">
        <w:rPr>
          <w:rFonts w:cstheme="minorHAnsi"/>
          <w:sz w:val="24"/>
          <w:szCs w:val="24"/>
          <w:lang w:val="en-GB"/>
        </w:rPr>
        <w:t xml:space="preserve">able 2) and the </w:t>
      </w:r>
      <w:r w:rsidR="00E10F4F">
        <w:rPr>
          <w:rFonts w:cstheme="minorHAnsi"/>
          <w:sz w:val="24"/>
          <w:szCs w:val="24"/>
          <w:lang w:val="en-GB"/>
        </w:rPr>
        <w:t xml:space="preserve">increased </w:t>
      </w:r>
      <w:r w:rsidR="00793341">
        <w:rPr>
          <w:rFonts w:cstheme="minorHAnsi"/>
          <w:sz w:val="24"/>
          <w:szCs w:val="24"/>
          <w:lang w:val="en-GB"/>
        </w:rPr>
        <w:t>TOPFA rates across these two time periods (</w:t>
      </w:r>
      <w:r w:rsidR="009F6775">
        <w:rPr>
          <w:rFonts w:cstheme="minorHAnsi"/>
          <w:sz w:val="24"/>
          <w:szCs w:val="24"/>
          <w:lang w:val="en-GB"/>
        </w:rPr>
        <w:t>F</w:t>
      </w:r>
      <w:r w:rsidR="00793341">
        <w:rPr>
          <w:rFonts w:cstheme="minorHAnsi"/>
          <w:sz w:val="24"/>
          <w:szCs w:val="24"/>
          <w:lang w:val="en-GB"/>
        </w:rPr>
        <w:t xml:space="preserve">igure </w:t>
      </w:r>
      <w:r w:rsidR="009F6775">
        <w:rPr>
          <w:rFonts w:cstheme="minorHAnsi"/>
          <w:sz w:val="24"/>
          <w:szCs w:val="24"/>
          <w:lang w:val="en-GB"/>
        </w:rPr>
        <w:t>S4</w:t>
      </w:r>
      <w:r w:rsidR="007643F8">
        <w:rPr>
          <w:rFonts w:cstheme="minorHAnsi"/>
          <w:sz w:val="24"/>
          <w:szCs w:val="24"/>
          <w:lang w:val="en-GB"/>
        </w:rPr>
        <w:t xml:space="preserve"> </w:t>
      </w:r>
      <w:r w:rsidR="00793341">
        <w:rPr>
          <w:rFonts w:cstheme="minorHAnsi"/>
          <w:sz w:val="24"/>
          <w:szCs w:val="24"/>
          <w:lang w:val="en-GB"/>
        </w:rPr>
        <w:t xml:space="preserve">in supplementary appendix) </w:t>
      </w:r>
      <w:r w:rsidRPr="00CE66BE">
        <w:rPr>
          <w:rFonts w:cstheme="minorHAnsi"/>
          <w:sz w:val="24"/>
          <w:szCs w:val="24"/>
          <w:lang w:val="en-GB"/>
        </w:rPr>
        <w:t>.</w:t>
      </w:r>
      <w:r w:rsidR="00B75F8F" w:rsidRPr="00CE66BE">
        <w:rPr>
          <w:rFonts w:cstheme="minorHAnsi"/>
          <w:sz w:val="24"/>
          <w:szCs w:val="24"/>
          <w:lang w:val="en-GB"/>
        </w:rPr>
        <w:t xml:space="preserve">In </w:t>
      </w:r>
      <w:r w:rsidR="007201B2" w:rsidRPr="00CE66BE">
        <w:rPr>
          <w:rFonts w:cstheme="minorHAnsi"/>
          <w:sz w:val="24"/>
          <w:szCs w:val="24"/>
          <w:lang w:val="en-GB"/>
        </w:rPr>
        <w:t>Malta</w:t>
      </w:r>
      <w:r w:rsidR="00D93F65" w:rsidRPr="00CE66BE">
        <w:rPr>
          <w:rFonts w:cstheme="minorHAnsi"/>
          <w:sz w:val="24"/>
          <w:szCs w:val="24"/>
          <w:lang w:val="en-GB"/>
        </w:rPr>
        <w:t>,</w:t>
      </w:r>
      <w:r w:rsidR="007201B2" w:rsidRPr="00CE66BE">
        <w:rPr>
          <w:rFonts w:cstheme="minorHAnsi"/>
          <w:sz w:val="24"/>
          <w:szCs w:val="24"/>
          <w:lang w:val="en-GB"/>
        </w:rPr>
        <w:t xml:space="preserve"> </w:t>
      </w:r>
      <w:r w:rsidR="00F848D4">
        <w:rPr>
          <w:rFonts w:cstheme="minorHAnsi"/>
          <w:sz w:val="24"/>
          <w:szCs w:val="24"/>
          <w:lang w:val="en-GB"/>
        </w:rPr>
        <w:t xml:space="preserve">no change in TOPFA rates occurred as </w:t>
      </w:r>
      <w:r w:rsidR="00F848D4" w:rsidRPr="00CE66BE">
        <w:rPr>
          <w:rFonts w:cstheme="minorHAnsi"/>
          <w:sz w:val="24"/>
          <w:szCs w:val="24"/>
          <w:lang w:val="en-GB"/>
        </w:rPr>
        <w:t>TOPFA is not permitted by law in this country</w:t>
      </w:r>
      <w:r w:rsidR="00F848D4">
        <w:rPr>
          <w:rFonts w:cstheme="minorHAnsi"/>
          <w:sz w:val="24"/>
          <w:szCs w:val="24"/>
          <w:lang w:val="en-GB"/>
        </w:rPr>
        <w:t xml:space="preserve"> and </w:t>
      </w:r>
      <w:r w:rsidR="00226DAE" w:rsidRPr="00CE66BE">
        <w:rPr>
          <w:rFonts w:cstheme="minorHAnsi"/>
          <w:sz w:val="24"/>
          <w:szCs w:val="24"/>
          <w:lang w:val="en-GB"/>
        </w:rPr>
        <w:t xml:space="preserve">the </w:t>
      </w:r>
      <w:r w:rsidR="007201B2" w:rsidRPr="00CE66BE">
        <w:rPr>
          <w:rFonts w:cstheme="minorHAnsi"/>
          <w:sz w:val="24"/>
          <w:szCs w:val="24"/>
          <w:lang w:val="en-GB"/>
        </w:rPr>
        <w:t>mortality d</w:t>
      </w:r>
      <w:r w:rsidR="00B75F8F" w:rsidRPr="00CE66BE">
        <w:rPr>
          <w:rFonts w:cstheme="minorHAnsi"/>
          <w:sz w:val="24"/>
          <w:szCs w:val="24"/>
          <w:lang w:val="en-GB"/>
        </w:rPr>
        <w:t>id not decrease</w:t>
      </w:r>
      <w:r w:rsidR="00D659F1" w:rsidRPr="00CE66BE">
        <w:rPr>
          <w:rFonts w:cstheme="minorHAnsi"/>
          <w:sz w:val="24"/>
          <w:szCs w:val="24"/>
          <w:lang w:val="en-GB"/>
        </w:rPr>
        <w:t xml:space="preserve"> over time</w:t>
      </w:r>
      <w:r w:rsidR="00F848D4">
        <w:rPr>
          <w:rFonts w:cstheme="minorHAnsi"/>
          <w:sz w:val="24"/>
          <w:szCs w:val="24"/>
          <w:lang w:val="en-GB"/>
        </w:rPr>
        <w:t xml:space="preserve"> </w:t>
      </w:r>
      <w:r w:rsidR="009B6721" w:rsidRPr="00CE66BE">
        <w:rPr>
          <w:rFonts w:cstheme="minorHAnsi"/>
          <w:sz w:val="24"/>
          <w:szCs w:val="24"/>
          <w:lang w:val="en-GB"/>
        </w:rPr>
        <w:t>.</w:t>
      </w:r>
      <w:r w:rsidR="005F6A61" w:rsidRPr="00CE66BE">
        <w:rPr>
          <w:rFonts w:cstheme="minorHAnsi"/>
          <w:sz w:val="24"/>
          <w:szCs w:val="24"/>
          <w:lang w:val="en-GB"/>
        </w:rPr>
        <w:t xml:space="preserve"> </w:t>
      </w:r>
      <w:r w:rsidR="00957B44" w:rsidRPr="00CE66BE">
        <w:rPr>
          <w:rFonts w:cstheme="minorHAnsi"/>
          <w:sz w:val="24"/>
          <w:szCs w:val="24"/>
          <w:lang w:val="en-GB"/>
        </w:rPr>
        <w:t xml:space="preserve">Funen (Denmark) </w:t>
      </w:r>
      <w:r w:rsidR="00F848D4">
        <w:rPr>
          <w:rFonts w:cstheme="minorHAnsi"/>
          <w:sz w:val="24"/>
          <w:szCs w:val="24"/>
          <w:lang w:val="en-GB"/>
        </w:rPr>
        <w:t>wa</w:t>
      </w:r>
      <w:r w:rsidR="00957B44" w:rsidRPr="00CE66BE">
        <w:rPr>
          <w:rFonts w:cstheme="minorHAnsi"/>
          <w:sz w:val="24"/>
          <w:szCs w:val="24"/>
          <w:lang w:val="en-GB"/>
        </w:rPr>
        <w:t xml:space="preserve">s the registry </w:t>
      </w:r>
      <w:r w:rsidR="00957B44" w:rsidRPr="00CE66BE">
        <w:rPr>
          <w:rFonts w:cstheme="minorHAnsi"/>
          <w:sz w:val="24"/>
          <w:szCs w:val="24"/>
          <w:lang w:val="en-GB"/>
        </w:rPr>
        <w:lastRenderedPageBreak/>
        <w:t>with the highest decrease</w:t>
      </w:r>
      <w:r w:rsidR="00D256C7" w:rsidRPr="00CE66BE">
        <w:rPr>
          <w:rFonts w:cstheme="minorHAnsi"/>
          <w:sz w:val="24"/>
          <w:szCs w:val="24"/>
          <w:lang w:val="en-GB"/>
        </w:rPr>
        <w:t xml:space="preserve"> in infant </w:t>
      </w:r>
      <w:r w:rsidR="00957B44" w:rsidRPr="00CE66BE">
        <w:rPr>
          <w:rFonts w:cstheme="minorHAnsi"/>
          <w:sz w:val="24"/>
          <w:szCs w:val="24"/>
          <w:lang w:val="en-GB"/>
        </w:rPr>
        <w:t xml:space="preserve">mortality in </w:t>
      </w:r>
      <w:r w:rsidR="00D256C7" w:rsidRPr="00CE66BE">
        <w:rPr>
          <w:rFonts w:cstheme="minorHAnsi"/>
          <w:sz w:val="24"/>
          <w:szCs w:val="24"/>
          <w:lang w:val="en-GB"/>
        </w:rPr>
        <w:t xml:space="preserve">2005-2014 compared to 1995-2004 </w:t>
      </w:r>
      <w:r w:rsidR="00394FB5">
        <w:rPr>
          <w:rFonts w:cstheme="minorHAnsi"/>
          <w:sz w:val="24"/>
          <w:szCs w:val="24"/>
          <w:lang w:val="en-GB"/>
        </w:rPr>
        <w:t xml:space="preserve">(HR 0.35, 95% CI 0.24, </w:t>
      </w:r>
      <w:r w:rsidR="00957B44" w:rsidRPr="00CE66BE">
        <w:rPr>
          <w:rFonts w:cstheme="minorHAnsi"/>
          <w:sz w:val="24"/>
          <w:szCs w:val="24"/>
          <w:lang w:val="en-GB"/>
        </w:rPr>
        <w:t>0.52)</w:t>
      </w:r>
      <w:r w:rsidR="00F848D4">
        <w:rPr>
          <w:rFonts w:cstheme="minorHAnsi"/>
          <w:sz w:val="24"/>
          <w:szCs w:val="24"/>
          <w:lang w:val="en-GB"/>
        </w:rPr>
        <w:t xml:space="preserve"> and one of the highest increases in TOPFA rates.</w:t>
      </w:r>
      <w:r w:rsidR="00957B44" w:rsidRPr="00CE66BE">
        <w:rPr>
          <w:rFonts w:cstheme="minorHAnsi"/>
          <w:sz w:val="24"/>
          <w:szCs w:val="24"/>
          <w:lang w:val="en-GB"/>
        </w:rPr>
        <w:t xml:space="preserve"> This </w:t>
      </w:r>
      <w:r w:rsidR="00400420" w:rsidRPr="00CE66BE">
        <w:rPr>
          <w:rFonts w:cstheme="minorHAnsi"/>
          <w:sz w:val="24"/>
          <w:szCs w:val="24"/>
          <w:lang w:val="en-GB"/>
        </w:rPr>
        <w:t>may</w:t>
      </w:r>
      <w:r w:rsidR="00957B44" w:rsidRPr="00CE66BE">
        <w:rPr>
          <w:rFonts w:cstheme="minorHAnsi"/>
          <w:sz w:val="24"/>
          <w:szCs w:val="24"/>
          <w:lang w:val="en-GB"/>
        </w:rPr>
        <w:t xml:space="preserve"> be explained by the </w:t>
      </w:r>
      <w:r w:rsidR="00A22EAA" w:rsidRPr="00CE66BE">
        <w:rPr>
          <w:rFonts w:cstheme="minorHAnsi"/>
          <w:sz w:val="24"/>
          <w:szCs w:val="24"/>
          <w:lang w:val="en-GB"/>
        </w:rPr>
        <w:t xml:space="preserve">impact of the </w:t>
      </w:r>
      <w:r w:rsidR="006F1A60" w:rsidRPr="00CE66BE">
        <w:rPr>
          <w:rFonts w:cstheme="minorHAnsi"/>
          <w:sz w:val="24"/>
          <w:szCs w:val="24"/>
          <w:lang w:val="en-GB"/>
        </w:rPr>
        <w:t xml:space="preserve">Danish </w:t>
      </w:r>
      <w:r w:rsidR="00957B44" w:rsidRPr="00CE66BE">
        <w:rPr>
          <w:rFonts w:cstheme="minorHAnsi"/>
          <w:sz w:val="24"/>
          <w:szCs w:val="24"/>
          <w:lang w:val="en-GB"/>
        </w:rPr>
        <w:t xml:space="preserve">national </w:t>
      </w:r>
      <w:r w:rsidR="00D256C7" w:rsidRPr="00CE66BE">
        <w:rPr>
          <w:rFonts w:cstheme="minorHAnsi"/>
          <w:sz w:val="24"/>
          <w:szCs w:val="24"/>
          <w:lang w:val="en-GB"/>
        </w:rPr>
        <w:t xml:space="preserve">prenatal </w:t>
      </w:r>
      <w:r w:rsidR="00957B44" w:rsidRPr="00CE66BE">
        <w:rPr>
          <w:rFonts w:cstheme="minorHAnsi"/>
          <w:sz w:val="24"/>
          <w:szCs w:val="24"/>
          <w:lang w:val="en-GB"/>
        </w:rPr>
        <w:t xml:space="preserve">screening program </w:t>
      </w:r>
      <w:r w:rsidR="00AF065C" w:rsidRPr="00CE66BE">
        <w:rPr>
          <w:rFonts w:cstheme="minorHAnsi"/>
          <w:sz w:val="24"/>
          <w:szCs w:val="24"/>
          <w:lang w:val="en-GB"/>
        </w:rPr>
        <w:t>implemented</w:t>
      </w:r>
      <w:r w:rsidR="00957B44" w:rsidRPr="00CE66BE">
        <w:rPr>
          <w:rFonts w:cstheme="minorHAnsi"/>
          <w:sz w:val="24"/>
          <w:szCs w:val="24"/>
          <w:lang w:val="en-GB"/>
        </w:rPr>
        <w:t xml:space="preserve"> </w:t>
      </w:r>
      <w:r w:rsidR="00C56085" w:rsidRPr="00CE66BE">
        <w:rPr>
          <w:rFonts w:cstheme="minorHAnsi"/>
          <w:sz w:val="24"/>
          <w:szCs w:val="24"/>
          <w:lang w:val="en-GB"/>
        </w:rPr>
        <w:t>in 2005</w:t>
      </w:r>
      <w:r w:rsidR="00957B44" w:rsidRPr="00CE66BE">
        <w:rPr>
          <w:rFonts w:cstheme="minorHAnsi"/>
          <w:sz w:val="24"/>
          <w:szCs w:val="24"/>
          <w:lang w:val="en-GB"/>
        </w:rPr>
        <w:t xml:space="preserve"> </w:t>
      </w:r>
      <w:r w:rsidR="00C56085" w:rsidRPr="00CE66BE">
        <w:rPr>
          <w:rFonts w:cstheme="minorHAnsi"/>
          <w:sz w:val="24"/>
          <w:szCs w:val="24"/>
          <w:lang w:val="en-GB"/>
        </w:rPr>
        <w:t xml:space="preserve">and </w:t>
      </w:r>
      <w:r w:rsidR="00957B44" w:rsidRPr="00CE66BE">
        <w:rPr>
          <w:rFonts w:cstheme="minorHAnsi"/>
          <w:sz w:val="24"/>
          <w:szCs w:val="24"/>
          <w:lang w:val="en-GB"/>
        </w:rPr>
        <w:t>offered to all pregnant women free of charge</w:t>
      </w:r>
      <w:r w:rsidR="00560245">
        <w:rPr>
          <w:rFonts w:cstheme="minorHAnsi"/>
          <w:sz w:val="24"/>
          <w:szCs w:val="24"/>
          <w:vertAlign w:val="superscript"/>
          <w:lang w:val="en-GB"/>
        </w:rPr>
        <w:t>28</w:t>
      </w:r>
      <w:proofErr w:type="gramStart"/>
      <w:r w:rsidR="00331079">
        <w:rPr>
          <w:rFonts w:cstheme="minorHAnsi"/>
          <w:sz w:val="24"/>
          <w:szCs w:val="24"/>
          <w:vertAlign w:val="superscript"/>
          <w:lang w:val="en-GB"/>
        </w:rPr>
        <w:t>,29</w:t>
      </w:r>
      <w:proofErr w:type="gramEnd"/>
      <w:r w:rsidR="00D541D3" w:rsidRPr="004062D0">
        <w:rPr>
          <w:rFonts w:cstheme="minorHAnsi"/>
          <w:sz w:val="24"/>
          <w:szCs w:val="24"/>
          <w:vertAlign w:val="superscript"/>
          <w:lang w:val="en-GB"/>
        </w:rPr>
        <w:t xml:space="preserve"> </w:t>
      </w:r>
      <w:r w:rsidR="00957B44" w:rsidRPr="00CE66BE">
        <w:rPr>
          <w:rFonts w:cstheme="minorHAnsi"/>
          <w:sz w:val="24"/>
          <w:szCs w:val="24"/>
          <w:lang w:val="en-GB"/>
        </w:rPr>
        <w:t>.</w:t>
      </w:r>
      <w:r w:rsidR="00D256C7" w:rsidRPr="00CE66BE">
        <w:rPr>
          <w:rFonts w:cstheme="minorHAnsi"/>
          <w:sz w:val="24"/>
          <w:szCs w:val="24"/>
          <w:lang w:val="en-GB"/>
        </w:rPr>
        <w:t xml:space="preserve"> </w:t>
      </w:r>
      <w:r w:rsidR="00331079">
        <w:rPr>
          <w:rFonts w:cstheme="minorHAnsi"/>
          <w:sz w:val="24"/>
          <w:szCs w:val="24"/>
          <w:lang w:val="en-GB"/>
        </w:rPr>
        <w:t>S</w:t>
      </w:r>
      <w:r w:rsidR="00C56085" w:rsidRPr="00CE66BE">
        <w:rPr>
          <w:rFonts w:cstheme="minorHAnsi"/>
          <w:sz w:val="24"/>
          <w:szCs w:val="24"/>
          <w:lang w:val="en-GB"/>
        </w:rPr>
        <w:t>creening program</w:t>
      </w:r>
      <w:r w:rsidR="00331079">
        <w:rPr>
          <w:rFonts w:cstheme="minorHAnsi"/>
          <w:sz w:val="24"/>
          <w:szCs w:val="24"/>
          <w:lang w:val="en-GB"/>
        </w:rPr>
        <w:t>mes</w:t>
      </w:r>
      <w:r w:rsidR="00C56085" w:rsidRPr="00CE66BE">
        <w:rPr>
          <w:rFonts w:cstheme="minorHAnsi"/>
          <w:sz w:val="24"/>
          <w:szCs w:val="24"/>
          <w:lang w:val="en-GB"/>
        </w:rPr>
        <w:t xml:space="preserve"> </w:t>
      </w:r>
      <w:r w:rsidR="00331079">
        <w:rPr>
          <w:rFonts w:cstheme="minorHAnsi"/>
          <w:sz w:val="24"/>
          <w:szCs w:val="24"/>
          <w:lang w:val="en-GB"/>
        </w:rPr>
        <w:t xml:space="preserve">are known to </w:t>
      </w:r>
      <w:proofErr w:type="spellStart"/>
      <w:r w:rsidR="00331079">
        <w:rPr>
          <w:rFonts w:cstheme="minorHAnsi"/>
          <w:sz w:val="24"/>
          <w:szCs w:val="24"/>
          <w:lang w:val="en-GB"/>
        </w:rPr>
        <w:t>increase</w:t>
      </w:r>
      <w:r w:rsidR="00AF065C" w:rsidRPr="00CE66BE">
        <w:rPr>
          <w:rFonts w:cstheme="minorHAnsi"/>
          <w:sz w:val="24"/>
          <w:szCs w:val="24"/>
          <w:lang w:val="en-GB"/>
        </w:rPr>
        <w:t>the</w:t>
      </w:r>
      <w:proofErr w:type="spellEnd"/>
      <w:r w:rsidR="00AF065C" w:rsidRPr="00CE66BE">
        <w:rPr>
          <w:rFonts w:cstheme="minorHAnsi"/>
          <w:sz w:val="24"/>
          <w:szCs w:val="24"/>
          <w:lang w:val="en-GB"/>
        </w:rPr>
        <w:t xml:space="preserve"> </w:t>
      </w:r>
      <w:r w:rsidR="00C56085" w:rsidRPr="00CE66BE">
        <w:rPr>
          <w:rFonts w:cstheme="minorHAnsi"/>
          <w:sz w:val="24"/>
          <w:szCs w:val="24"/>
          <w:lang w:val="en-GB"/>
        </w:rPr>
        <w:t>prenatal detection</w:t>
      </w:r>
      <w:r w:rsidR="00D256C7" w:rsidRPr="00CE66BE">
        <w:rPr>
          <w:rFonts w:cstheme="minorHAnsi"/>
          <w:sz w:val="24"/>
          <w:szCs w:val="24"/>
          <w:lang w:val="en-GB"/>
        </w:rPr>
        <w:t xml:space="preserve"> of major CA</w:t>
      </w:r>
      <w:r w:rsidR="00FE521F" w:rsidRPr="00CE66BE">
        <w:rPr>
          <w:rFonts w:cstheme="minorHAnsi"/>
          <w:sz w:val="24"/>
          <w:szCs w:val="24"/>
          <w:lang w:val="en-GB"/>
        </w:rPr>
        <w:t>s</w:t>
      </w:r>
      <w:r w:rsidR="00AF065C" w:rsidRPr="00CE66BE">
        <w:rPr>
          <w:rFonts w:cstheme="minorHAnsi"/>
          <w:sz w:val="24"/>
          <w:szCs w:val="24"/>
          <w:lang w:val="en-GB"/>
        </w:rPr>
        <w:t xml:space="preserve"> with a</w:t>
      </w:r>
      <w:r w:rsidR="00400420" w:rsidRPr="00CE66BE">
        <w:rPr>
          <w:rFonts w:cstheme="minorHAnsi"/>
          <w:sz w:val="24"/>
          <w:szCs w:val="24"/>
          <w:lang w:val="en-GB"/>
        </w:rPr>
        <w:t>n</w:t>
      </w:r>
      <w:r w:rsidR="00AF065C" w:rsidRPr="00CE66BE">
        <w:rPr>
          <w:rFonts w:cstheme="minorHAnsi"/>
          <w:sz w:val="24"/>
          <w:szCs w:val="24"/>
          <w:lang w:val="en-GB"/>
        </w:rPr>
        <w:t xml:space="preserve"> impact on the rate </w:t>
      </w:r>
      <w:r w:rsidR="00C56085" w:rsidRPr="00CE66BE">
        <w:rPr>
          <w:rFonts w:cstheme="minorHAnsi"/>
          <w:sz w:val="24"/>
          <w:szCs w:val="24"/>
          <w:lang w:val="en-GB"/>
        </w:rPr>
        <w:t xml:space="preserve">of </w:t>
      </w:r>
      <w:r w:rsidR="00AF065C" w:rsidRPr="00CE66BE">
        <w:rPr>
          <w:rFonts w:cstheme="minorHAnsi"/>
          <w:sz w:val="24"/>
          <w:szCs w:val="24"/>
          <w:lang w:val="en-GB"/>
        </w:rPr>
        <w:t xml:space="preserve">TOPFA </w:t>
      </w:r>
      <w:r w:rsidR="00C56085" w:rsidRPr="00CE66BE">
        <w:rPr>
          <w:rFonts w:cstheme="minorHAnsi"/>
          <w:sz w:val="24"/>
          <w:szCs w:val="24"/>
          <w:lang w:val="en-GB"/>
        </w:rPr>
        <w:t>for the</w:t>
      </w:r>
      <w:r w:rsidR="00AF065C" w:rsidRPr="00CE66BE">
        <w:rPr>
          <w:rFonts w:cstheme="minorHAnsi"/>
          <w:sz w:val="24"/>
          <w:szCs w:val="24"/>
          <w:lang w:val="en-GB"/>
        </w:rPr>
        <w:t xml:space="preserve"> </w:t>
      </w:r>
      <w:r w:rsidR="00C56085" w:rsidRPr="00CE66BE">
        <w:rPr>
          <w:rFonts w:cstheme="minorHAnsi"/>
          <w:sz w:val="24"/>
          <w:szCs w:val="24"/>
          <w:lang w:val="en-GB"/>
        </w:rPr>
        <w:t xml:space="preserve">most severe cases and </w:t>
      </w:r>
      <w:r w:rsidR="00400420" w:rsidRPr="00CE66BE">
        <w:rPr>
          <w:rFonts w:cstheme="minorHAnsi"/>
          <w:sz w:val="24"/>
          <w:szCs w:val="24"/>
          <w:lang w:val="en-GB"/>
        </w:rPr>
        <w:t>a</w:t>
      </w:r>
      <w:r w:rsidR="00E17063" w:rsidRPr="00CE66BE">
        <w:rPr>
          <w:rFonts w:cstheme="minorHAnsi"/>
          <w:sz w:val="24"/>
          <w:szCs w:val="24"/>
          <w:lang w:val="en-GB"/>
        </w:rPr>
        <w:t xml:space="preserve"> consequent</w:t>
      </w:r>
      <w:r w:rsidR="00347EDE" w:rsidRPr="00CE66BE">
        <w:rPr>
          <w:rFonts w:cstheme="minorHAnsi"/>
          <w:sz w:val="24"/>
          <w:szCs w:val="24"/>
          <w:lang w:val="en-GB"/>
        </w:rPr>
        <w:t xml:space="preserve"> decrease </w:t>
      </w:r>
      <w:r w:rsidR="00D256C7" w:rsidRPr="00CE66BE">
        <w:rPr>
          <w:rFonts w:cstheme="minorHAnsi"/>
          <w:sz w:val="24"/>
          <w:szCs w:val="24"/>
          <w:lang w:val="en-GB"/>
        </w:rPr>
        <w:t>in</w:t>
      </w:r>
      <w:r w:rsidR="00AF065C" w:rsidRPr="00CE66BE">
        <w:rPr>
          <w:rFonts w:cstheme="minorHAnsi"/>
          <w:sz w:val="24"/>
          <w:szCs w:val="24"/>
          <w:lang w:val="en-GB"/>
        </w:rPr>
        <w:t xml:space="preserve"> infant </w:t>
      </w:r>
      <w:r w:rsidR="00347EDE" w:rsidRPr="00CE66BE">
        <w:rPr>
          <w:rFonts w:cstheme="minorHAnsi"/>
          <w:sz w:val="24"/>
          <w:szCs w:val="24"/>
          <w:lang w:val="en-GB"/>
        </w:rPr>
        <w:t>mortality</w:t>
      </w:r>
      <w:r w:rsidR="004062D0">
        <w:rPr>
          <w:rFonts w:cstheme="minorHAnsi"/>
          <w:sz w:val="24"/>
          <w:szCs w:val="24"/>
          <w:lang w:val="en-GB"/>
        </w:rPr>
        <w:t>.</w:t>
      </w:r>
      <w:r w:rsidR="00331079">
        <w:rPr>
          <w:rFonts w:cstheme="minorHAnsi"/>
          <w:sz w:val="24"/>
          <w:szCs w:val="24"/>
          <w:vertAlign w:val="superscript"/>
          <w:lang w:val="en-GB"/>
        </w:rPr>
        <w:t>30</w:t>
      </w:r>
    </w:p>
    <w:p w14:paraId="0F864F25" w14:textId="3EA82E1E" w:rsidR="00CD4F65" w:rsidRDefault="00CD4F65" w:rsidP="00CD4F65">
      <w:pPr>
        <w:autoSpaceDE w:val="0"/>
        <w:autoSpaceDN w:val="0"/>
        <w:adjustRightInd w:val="0"/>
        <w:spacing w:after="0" w:line="480" w:lineRule="auto"/>
        <w:rPr>
          <w:rFonts w:cstheme="minorHAnsi"/>
          <w:sz w:val="24"/>
          <w:szCs w:val="24"/>
          <w:lang w:val="en-GB"/>
        </w:rPr>
      </w:pPr>
      <w:r w:rsidRPr="00FE3D57">
        <w:rPr>
          <w:rFonts w:cstheme="minorHAnsi"/>
          <w:sz w:val="24"/>
          <w:szCs w:val="24"/>
          <w:lang w:val="en-GB"/>
        </w:rPr>
        <w:t xml:space="preserve">Prenatal detection might </w:t>
      </w:r>
      <w:r>
        <w:rPr>
          <w:rFonts w:cstheme="minorHAnsi"/>
          <w:sz w:val="24"/>
          <w:szCs w:val="24"/>
          <w:lang w:val="en-GB"/>
        </w:rPr>
        <w:t xml:space="preserve">also </w:t>
      </w:r>
      <w:r w:rsidRPr="00FE3D57">
        <w:rPr>
          <w:rFonts w:cstheme="minorHAnsi"/>
          <w:sz w:val="24"/>
          <w:szCs w:val="24"/>
          <w:lang w:val="en-GB"/>
        </w:rPr>
        <w:t>improve outcomes</w:t>
      </w:r>
      <w:r w:rsidR="004D2162">
        <w:rPr>
          <w:rFonts w:cstheme="minorHAnsi"/>
          <w:sz w:val="24"/>
          <w:szCs w:val="24"/>
          <w:lang w:val="en-GB"/>
        </w:rPr>
        <w:t xml:space="preserve"> of livebirths</w:t>
      </w:r>
      <w:r w:rsidRPr="00FE3D57">
        <w:rPr>
          <w:rFonts w:cstheme="minorHAnsi"/>
          <w:sz w:val="24"/>
          <w:szCs w:val="24"/>
          <w:lang w:val="en-GB"/>
        </w:rPr>
        <w:t>, especially for some CAs</w:t>
      </w:r>
      <w:r>
        <w:rPr>
          <w:rFonts w:cstheme="minorHAnsi"/>
          <w:sz w:val="24"/>
          <w:szCs w:val="24"/>
          <w:lang w:val="en-GB"/>
        </w:rPr>
        <w:t>, as it enables</w:t>
      </w:r>
      <w:r w:rsidRPr="00FE3D57">
        <w:rPr>
          <w:rFonts w:cstheme="minorHAnsi"/>
          <w:sz w:val="24"/>
          <w:szCs w:val="24"/>
          <w:lang w:val="en-GB"/>
        </w:rPr>
        <w:t xml:space="preserve"> prenatal therapy where </w:t>
      </w:r>
      <w:r>
        <w:rPr>
          <w:rFonts w:cstheme="minorHAnsi"/>
          <w:sz w:val="24"/>
          <w:szCs w:val="24"/>
          <w:lang w:val="en-GB"/>
        </w:rPr>
        <w:t>available</w:t>
      </w:r>
      <w:r w:rsidRPr="00FE3D57">
        <w:rPr>
          <w:rFonts w:cstheme="minorHAnsi"/>
          <w:sz w:val="24"/>
          <w:szCs w:val="24"/>
          <w:lang w:val="en-GB"/>
        </w:rPr>
        <w:t>, and facilitates a more eff</w:t>
      </w:r>
      <w:r>
        <w:rPr>
          <w:rFonts w:cstheme="minorHAnsi"/>
          <w:sz w:val="24"/>
          <w:szCs w:val="24"/>
          <w:lang w:val="en-GB"/>
        </w:rPr>
        <w:t>ective</w:t>
      </w:r>
      <w:r w:rsidRPr="00FE3D57">
        <w:rPr>
          <w:rFonts w:cstheme="minorHAnsi"/>
          <w:sz w:val="24"/>
          <w:szCs w:val="24"/>
          <w:lang w:val="en-GB"/>
        </w:rPr>
        <w:t xml:space="preserve"> clinical management of neonates in tertiary care </w:t>
      </w:r>
      <w:proofErr w:type="spellStart"/>
      <w:r w:rsidRPr="00FE3D57">
        <w:rPr>
          <w:rFonts w:cstheme="minorHAnsi"/>
          <w:sz w:val="24"/>
          <w:szCs w:val="24"/>
          <w:lang w:val="en-GB"/>
        </w:rPr>
        <w:t>centers</w:t>
      </w:r>
      <w:proofErr w:type="spellEnd"/>
      <w:r>
        <w:rPr>
          <w:rFonts w:cstheme="minorHAnsi"/>
          <w:sz w:val="24"/>
          <w:szCs w:val="24"/>
          <w:lang w:val="en-GB"/>
        </w:rPr>
        <w:t>.</w:t>
      </w:r>
    </w:p>
    <w:p w14:paraId="00E7E5BF" w14:textId="21ECBCF0" w:rsidR="00226DAE" w:rsidRPr="00CE66BE" w:rsidRDefault="00226DAE" w:rsidP="00754F3C">
      <w:pPr>
        <w:autoSpaceDE w:val="0"/>
        <w:autoSpaceDN w:val="0"/>
        <w:adjustRightInd w:val="0"/>
        <w:spacing w:after="0" w:line="480" w:lineRule="auto"/>
        <w:rPr>
          <w:rFonts w:cstheme="minorHAnsi"/>
          <w:sz w:val="24"/>
          <w:szCs w:val="24"/>
          <w:lang w:val="en-GB"/>
        </w:rPr>
      </w:pPr>
      <w:r w:rsidRPr="00CE66BE">
        <w:rPr>
          <w:rFonts w:cstheme="minorHAnsi"/>
          <w:sz w:val="24"/>
          <w:szCs w:val="24"/>
          <w:lang w:val="en-GB"/>
        </w:rPr>
        <w:t xml:space="preserve">The decrease </w:t>
      </w:r>
      <w:r w:rsidR="00D256C7" w:rsidRPr="00CE66BE">
        <w:rPr>
          <w:rFonts w:cstheme="minorHAnsi"/>
          <w:sz w:val="24"/>
          <w:szCs w:val="24"/>
          <w:lang w:val="en-GB"/>
        </w:rPr>
        <w:t>in</w:t>
      </w:r>
      <w:r w:rsidRPr="00CE66BE">
        <w:rPr>
          <w:rFonts w:cstheme="minorHAnsi"/>
          <w:sz w:val="24"/>
          <w:szCs w:val="24"/>
          <w:lang w:val="en-GB"/>
        </w:rPr>
        <w:t xml:space="preserve"> mortality may </w:t>
      </w:r>
      <w:r w:rsidR="00341E60">
        <w:rPr>
          <w:rFonts w:cstheme="minorHAnsi"/>
          <w:sz w:val="24"/>
          <w:szCs w:val="24"/>
          <w:lang w:val="en-GB"/>
        </w:rPr>
        <w:t xml:space="preserve">also </w:t>
      </w:r>
      <w:r w:rsidRPr="00CE66BE">
        <w:rPr>
          <w:rFonts w:cstheme="minorHAnsi"/>
          <w:sz w:val="24"/>
          <w:szCs w:val="24"/>
          <w:lang w:val="en-GB"/>
        </w:rPr>
        <w:t xml:space="preserve">be an underestimate as deaths within the first few days of life </w:t>
      </w:r>
      <w:r w:rsidR="00625175" w:rsidRPr="00CE66BE">
        <w:rPr>
          <w:rFonts w:cstheme="minorHAnsi"/>
          <w:sz w:val="24"/>
          <w:szCs w:val="24"/>
          <w:lang w:val="en-GB"/>
        </w:rPr>
        <w:t>we</w:t>
      </w:r>
      <w:r w:rsidRPr="00CE66BE">
        <w:rPr>
          <w:rFonts w:cstheme="minorHAnsi"/>
          <w:sz w:val="24"/>
          <w:szCs w:val="24"/>
          <w:lang w:val="en-GB"/>
        </w:rPr>
        <w:t xml:space="preserve">re more likely to be missed in the linkage process </w:t>
      </w:r>
      <w:r w:rsidR="00625175" w:rsidRPr="00CE66BE">
        <w:rPr>
          <w:rFonts w:cstheme="minorHAnsi"/>
          <w:sz w:val="24"/>
          <w:szCs w:val="24"/>
          <w:lang w:val="en-GB"/>
        </w:rPr>
        <w:t>and that the quality of li</w:t>
      </w:r>
      <w:r w:rsidR="005F6A61" w:rsidRPr="00CE66BE">
        <w:rPr>
          <w:rFonts w:cstheme="minorHAnsi"/>
          <w:sz w:val="24"/>
          <w:szCs w:val="24"/>
          <w:lang w:val="en-GB"/>
        </w:rPr>
        <w:t>nkage improved over time.</w:t>
      </w:r>
      <w:r w:rsidR="00331079">
        <w:rPr>
          <w:rFonts w:cstheme="minorHAnsi"/>
          <w:sz w:val="24"/>
          <w:szCs w:val="24"/>
          <w:vertAlign w:val="superscript"/>
          <w:lang w:val="en-GB"/>
        </w:rPr>
        <w:t>25</w:t>
      </w:r>
      <w:r w:rsidR="00331079" w:rsidRPr="00CE66BE">
        <w:rPr>
          <w:rFonts w:cstheme="minorHAnsi"/>
          <w:sz w:val="24"/>
          <w:szCs w:val="24"/>
          <w:lang w:val="en-GB"/>
        </w:rPr>
        <w:t xml:space="preserve"> </w:t>
      </w:r>
      <w:r w:rsidR="005F6A61" w:rsidRPr="00CE66BE">
        <w:rPr>
          <w:rFonts w:cstheme="minorHAnsi"/>
          <w:sz w:val="24"/>
          <w:szCs w:val="24"/>
          <w:lang w:val="en-GB"/>
        </w:rPr>
        <w:t xml:space="preserve">It is, </w:t>
      </w:r>
      <w:r w:rsidR="00625175" w:rsidRPr="00CE66BE">
        <w:rPr>
          <w:rFonts w:cstheme="minorHAnsi"/>
          <w:sz w:val="24"/>
          <w:szCs w:val="24"/>
          <w:lang w:val="en-GB"/>
        </w:rPr>
        <w:t xml:space="preserve">therefore, likely that the true survival in the first birth cohort is lower than that observed and hence that the true improvements in survival are greater. </w:t>
      </w:r>
    </w:p>
    <w:p w14:paraId="335AEB68" w14:textId="3CB1B264" w:rsidR="007C11B6" w:rsidRPr="00CE66BE" w:rsidRDefault="007C11B6" w:rsidP="00754F3C">
      <w:pPr>
        <w:autoSpaceDE w:val="0"/>
        <w:autoSpaceDN w:val="0"/>
        <w:adjustRightInd w:val="0"/>
        <w:spacing w:after="0" w:line="480" w:lineRule="auto"/>
        <w:rPr>
          <w:rFonts w:cstheme="minorHAnsi"/>
          <w:sz w:val="24"/>
          <w:szCs w:val="24"/>
          <w:lang w:val="en-GB"/>
        </w:rPr>
      </w:pPr>
      <w:r w:rsidRPr="00CE66BE">
        <w:rPr>
          <w:rFonts w:cstheme="minorHAnsi"/>
          <w:sz w:val="24"/>
          <w:szCs w:val="24"/>
          <w:lang w:val="en-GB"/>
        </w:rPr>
        <w:t xml:space="preserve">Since survival </w:t>
      </w:r>
      <w:r w:rsidR="00625175" w:rsidRPr="00CE66BE">
        <w:rPr>
          <w:rFonts w:cstheme="minorHAnsi"/>
          <w:sz w:val="24"/>
          <w:szCs w:val="24"/>
          <w:lang w:val="en-GB"/>
        </w:rPr>
        <w:t>has</w:t>
      </w:r>
      <w:r w:rsidRPr="00CE66BE">
        <w:rPr>
          <w:rFonts w:cstheme="minorHAnsi"/>
          <w:sz w:val="24"/>
          <w:szCs w:val="24"/>
          <w:lang w:val="en-GB"/>
        </w:rPr>
        <w:t xml:space="preserve"> improved over time</w:t>
      </w:r>
      <w:r w:rsidR="00625175" w:rsidRPr="00CE66BE">
        <w:rPr>
          <w:rFonts w:cstheme="minorHAnsi"/>
          <w:sz w:val="24"/>
          <w:szCs w:val="24"/>
          <w:lang w:val="en-GB"/>
        </w:rPr>
        <w:t>,</w:t>
      </w:r>
      <w:r w:rsidRPr="00CE66BE">
        <w:rPr>
          <w:rFonts w:cstheme="minorHAnsi"/>
          <w:sz w:val="24"/>
          <w:szCs w:val="24"/>
          <w:lang w:val="en-GB"/>
        </w:rPr>
        <w:t xml:space="preserve"> </w:t>
      </w:r>
      <w:r w:rsidR="00625175" w:rsidRPr="00CE66BE">
        <w:rPr>
          <w:rFonts w:cstheme="minorHAnsi"/>
          <w:sz w:val="24"/>
          <w:szCs w:val="24"/>
          <w:lang w:val="en-GB"/>
        </w:rPr>
        <w:t xml:space="preserve">when </w:t>
      </w:r>
      <w:r w:rsidRPr="00CE66BE">
        <w:rPr>
          <w:rFonts w:cstheme="minorHAnsi"/>
          <w:sz w:val="24"/>
          <w:szCs w:val="24"/>
          <w:lang w:val="en-GB"/>
        </w:rPr>
        <w:t>compari</w:t>
      </w:r>
      <w:r w:rsidR="00625175" w:rsidRPr="00CE66BE">
        <w:rPr>
          <w:rFonts w:cstheme="minorHAnsi"/>
          <w:sz w:val="24"/>
          <w:szCs w:val="24"/>
          <w:lang w:val="en-GB"/>
        </w:rPr>
        <w:t xml:space="preserve">ng </w:t>
      </w:r>
      <w:r w:rsidRPr="00CE66BE">
        <w:rPr>
          <w:rFonts w:cstheme="minorHAnsi"/>
          <w:sz w:val="24"/>
          <w:szCs w:val="24"/>
          <w:lang w:val="en-GB"/>
        </w:rPr>
        <w:t xml:space="preserve">survival between different </w:t>
      </w:r>
      <w:r w:rsidR="00951894" w:rsidRPr="00CE66BE">
        <w:rPr>
          <w:rFonts w:cstheme="minorHAnsi"/>
          <w:sz w:val="24"/>
          <w:szCs w:val="24"/>
          <w:lang w:val="en-GB"/>
        </w:rPr>
        <w:t>areas</w:t>
      </w:r>
      <w:r w:rsidR="00625175" w:rsidRPr="00CE66BE">
        <w:rPr>
          <w:rFonts w:cstheme="minorHAnsi"/>
          <w:sz w:val="24"/>
          <w:szCs w:val="24"/>
          <w:lang w:val="en-GB"/>
        </w:rPr>
        <w:t xml:space="preserve"> it is essential to use similar birth cohorts and that data from the most recent cohorts only should be used to estimate current survival rates for children with CAs. </w:t>
      </w:r>
      <w:r w:rsidRPr="00CE66BE">
        <w:rPr>
          <w:rFonts w:cstheme="minorHAnsi"/>
          <w:sz w:val="24"/>
          <w:szCs w:val="24"/>
          <w:lang w:val="en-GB"/>
        </w:rPr>
        <w:t>This ensures greater robustness of the results and less potential for bias.</w:t>
      </w:r>
    </w:p>
    <w:p w14:paraId="2805477D" w14:textId="77777777" w:rsidR="00625175" w:rsidRPr="00CE66BE" w:rsidRDefault="00625175" w:rsidP="00754F3C">
      <w:pPr>
        <w:autoSpaceDE w:val="0"/>
        <w:autoSpaceDN w:val="0"/>
        <w:adjustRightInd w:val="0"/>
        <w:spacing w:after="0" w:line="480" w:lineRule="auto"/>
        <w:rPr>
          <w:rFonts w:cstheme="minorHAnsi"/>
          <w:sz w:val="24"/>
          <w:szCs w:val="24"/>
          <w:lang w:val="en-GB"/>
        </w:rPr>
      </w:pPr>
    </w:p>
    <w:p w14:paraId="7062ADC9" w14:textId="3BE1D2C3" w:rsidR="003627E9" w:rsidRPr="004749DB" w:rsidRDefault="003627E9" w:rsidP="00754F3C">
      <w:pPr>
        <w:spacing w:after="0" w:line="480" w:lineRule="auto"/>
        <w:rPr>
          <w:rFonts w:cstheme="minorHAnsi"/>
          <w:i/>
          <w:sz w:val="24"/>
          <w:szCs w:val="24"/>
          <w:lang w:val="en-GB"/>
        </w:rPr>
      </w:pPr>
      <w:r w:rsidRPr="004749DB">
        <w:rPr>
          <w:rFonts w:cstheme="minorHAnsi"/>
          <w:i/>
          <w:sz w:val="24"/>
          <w:szCs w:val="24"/>
          <w:lang w:val="en-GB"/>
        </w:rPr>
        <w:t>Geographic</w:t>
      </w:r>
      <w:r w:rsidR="00603289" w:rsidRPr="004749DB">
        <w:rPr>
          <w:rFonts w:cstheme="minorHAnsi"/>
          <w:i/>
          <w:sz w:val="24"/>
          <w:szCs w:val="24"/>
          <w:lang w:val="en-GB"/>
        </w:rPr>
        <w:t>al</w:t>
      </w:r>
      <w:r w:rsidRPr="004749DB">
        <w:rPr>
          <w:rFonts w:cstheme="minorHAnsi"/>
          <w:i/>
          <w:sz w:val="24"/>
          <w:szCs w:val="24"/>
          <w:lang w:val="en-GB"/>
        </w:rPr>
        <w:t xml:space="preserve"> difference</w:t>
      </w:r>
      <w:r w:rsidR="00AA3C90" w:rsidRPr="004749DB">
        <w:rPr>
          <w:rFonts w:cstheme="minorHAnsi"/>
          <w:i/>
          <w:sz w:val="24"/>
          <w:szCs w:val="24"/>
          <w:lang w:val="en-GB"/>
        </w:rPr>
        <w:t>s</w:t>
      </w:r>
    </w:p>
    <w:p w14:paraId="5A9B4086" w14:textId="7C64DD00" w:rsidR="001C3C14" w:rsidRDefault="004C0450" w:rsidP="00754F3C">
      <w:pPr>
        <w:spacing w:after="0" w:line="480" w:lineRule="auto"/>
        <w:rPr>
          <w:rFonts w:cstheme="minorHAnsi"/>
          <w:sz w:val="24"/>
          <w:szCs w:val="24"/>
          <w:lang w:val="en-GB"/>
        </w:rPr>
      </w:pPr>
      <w:r w:rsidRPr="00CE66BE">
        <w:rPr>
          <w:rFonts w:cstheme="minorHAnsi"/>
          <w:sz w:val="24"/>
          <w:szCs w:val="24"/>
          <w:lang w:val="en-GB"/>
        </w:rPr>
        <w:t>W</w:t>
      </w:r>
      <w:r w:rsidR="00312D9C" w:rsidRPr="00CE66BE">
        <w:rPr>
          <w:rFonts w:cstheme="minorHAnsi"/>
          <w:sz w:val="24"/>
          <w:szCs w:val="24"/>
          <w:lang w:val="en-GB"/>
        </w:rPr>
        <w:t xml:space="preserve">e observed a high variability </w:t>
      </w:r>
      <w:r w:rsidR="004516DD" w:rsidRPr="00CE66BE">
        <w:rPr>
          <w:rFonts w:cstheme="minorHAnsi"/>
          <w:sz w:val="24"/>
          <w:szCs w:val="24"/>
          <w:lang w:val="en-GB"/>
        </w:rPr>
        <w:t>in</w:t>
      </w:r>
      <w:r w:rsidR="00312D9C" w:rsidRPr="00CE66BE">
        <w:rPr>
          <w:rFonts w:cstheme="minorHAnsi"/>
          <w:sz w:val="24"/>
          <w:szCs w:val="24"/>
          <w:lang w:val="en-GB"/>
        </w:rPr>
        <w:t xml:space="preserve"> </w:t>
      </w:r>
      <w:r w:rsidR="00C63B23" w:rsidRPr="00CE66BE">
        <w:rPr>
          <w:rFonts w:cstheme="minorHAnsi"/>
          <w:sz w:val="24"/>
          <w:szCs w:val="24"/>
          <w:lang w:val="en-GB"/>
        </w:rPr>
        <w:t xml:space="preserve">estimated </w:t>
      </w:r>
      <w:r w:rsidRPr="00CE66BE">
        <w:rPr>
          <w:rFonts w:cstheme="minorHAnsi"/>
          <w:sz w:val="24"/>
          <w:szCs w:val="24"/>
          <w:lang w:val="en-GB"/>
        </w:rPr>
        <w:t>survival across the registries</w:t>
      </w:r>
      <w:r w:rsidR="0086557E" w:rsidRPr="00CE66BE">
        <w:rPr>
          <w:rFonts w:cstheme="minorHAnsi"/>
          <w:sz w:val="24"/>
          <w:szCs w:val="24"/>
          <w:lang w:val="en-GB"/>
        </w:rPr>
        <w:t xml:space="preserve"> which may be due to </w:t>
      </w:r>
      <w:r w:rsidR="00400420" w:rsidRPr="00CE66BE">
        <w:rPr>
          <w:rFonts w:cstheme="minorHAnsi"/>
          <w:sz w:val="24"/>
          <w:szCs w:val="24"/>
          <w:lang w:val="en-GB"/>
        </w:rPr>
        <w:t>a number of</w:t>
      </w:r>
      <w:r w:rsidR="0086557E" w:rsidRPr="00CE66BE">
        <w:rPr>
          <w:rFonts w:cstheme="minorHAnsi"/>
          <w:sz w:val="24"/>
          <w:szCs w:val="24"/>
          <w:lang w:val="en-GB"/>
        </w:rPr>
        <w:t xml:space="preserve"> factors</w:t>
      </w:r>
      <w:r w:rsidR="00312D9C" w:rsidRPr="00CE66BE">
        <w:rPr>
          <w:rFonts w:cstheme="minorHAnsi"/>
          <w:sz w:val="24"/>
          <w:szCs w:val="24"/>
          <w:lang w:val="en-GB"/>
        </w:rPr>
        <w:t>.</w:t>
      </w:r>
      <w:r w:rsidR="00B02B6B" w:rsidRPr="00CE66BE">
        <w:rPr>
          <w:rFonts w:cstheme="minorHAnsi"/>
          <w:sz w:val="24"/>
          <w:szCs w:val="24"/>
          <w:lang w:val="en-GB"/>
        </w:rPr>
        <w:t xml:space="preserve"> </w:t>
      </w:r>
      <w:r w:rsidR="0086557E" w:rsidRPr="00CE66BE">
        <w:rPr>
          <w:rFonts w:cstheme="minorHAnsi"/>
          <w:sz w:val="24"/>
          <w:szCs w:val="24"/>
          <w:lang w:val="en-GB"/>
        </w:rPr>
        <w:t>Firstly</w:t>
      </w:r>
      <w:r w:rsidR="001A7D82" w:rsidRPr="00CE66BE">
        <w:rPr>
          <w:rFonts w:cstheme="minorHAnsi"/>
          <w:sz w:val="24"/>
          <w:szCs w:val="24"/>
          <w:lang w:val="en-GB"/>
        </w:rPr>
        <w:t>,</w:t>
      </w:r>
      <w:r w:rsidR="0086557E" w:rsidRPr="00CE66BE">
        <w:rPr>
          <w:rFonts w:cstheme="minorHAnsi"/>
          <w:sz w:val="24"/>
          <w:szCs w:val="24"/>
          <w:lang w:val="en-GB"/>
        </w:rPr>
        <w:t xml:space="preserve"> </w:t>
      </w:r>
      <w:r w:rsidR="0086557E" w:rsidRPr="00CE66BE">
        <w:rPr>
          <w:rFonts w:cstheme="minorHAnsi"/>
          <w:color w:val="000000"/>
          <w:sz w:val="24"/>
          <w:szCs w:val="24"/>
          <w:lang w:val="en-GB"/>
        </w:rPr>
        <w:t xml:space="preserve">the quality of linkage to mortality records </w:t>
      </w:r>
      <w:r w:rsidR="00E02C32" w:rsidRPr="00CE66BE">
        <w:rPr>
          <w:rFonts w:cstheme="minorHAnsi"/>
          <w:color w:val="000000"/>
          <w:sz w:val="24"/>
          <w:szCs w:val="24"/>
          <w:lang w:val="en-GB"/>
        </w:rPr>
        <w:t xml:space="preserve">may </w:t>
      </w:r>
      <w:r w:rsidR="0086557E" w:rsidRPr="00CE66BE">
        <w:rPr>
          <w:rFonts w:cstheme="minorHAnsi"/>
          <w:color w:val="000000"/>
          <w:sz w:val="24"/>
          <w:szCs w:val="24"/>
          <w:lang w:val="en-GB"/>
        </w:rPr>
        <w:t xml:space="preserve">influence </w:t>
      </w:r>
      <w:r w:rsidR="0086557E" w:rsidRPr="00CE66BE">
        <w:rPr>
          <w:rFonts w:cstheme="minorHAnsi"/>
          <w:sz w:val="24"/>
          <w:szCs w:val="24"/>
          <w:lang w:val="en-GB"/>
        </w:rPr>
        <w:t>survival estimates</w:t>
      </w:r>
      <w:r w:rsidR="00E02C32" w:rsidRPr="00CE66BE">
        <w:rPr>
          <w:rFonts w:cstheme="minorHAnsi"/>
          <w:sz w:val="24"/>
          <w:szCs w:val="24"/>
          <w:lang w:val="en-GB"/>
        </w:rPr>
        <w:t xml:space="preserve">, as deaths occurring in the first </w:t>
      </w:r>
      <w:r w:rsidR="001A7D82" w:rsidRPr="00CE66BE">
        <w:rPr>
          <w:rFonts w:cstheme="minorHAnsi"/>
          <w:sz w:val="24"/>
          <w:szCs w:val="24"/>
          <w:lang w:val="en-GB"/>
        </w:rPr>
        <w:t xml:space="preserve">few </w:t>
      </w:r>
      <w:r w:rsidR="00E02C32" w:rsidRPr="00CE66BE">
        <w:rPr>
          <w:rFonts w:cstheme="minorHAnsi"/>
          <w:sz w:val="24"/>
          <w:szCs w:val="24"/>
          <w:lang w:val="en-GB"/>
        </w:rPr>
        <w:t>days of life have been shown to be less likely t</w:t>
      </w:r>
      <w:r w:rsidR="003114BF" w:rsidRPr="00CE66BE">
        <w:rPr>
          <w:rFonts w:cstheme="minorHAnsi"/>
          <w:sz w:val="24"/>
          <w:szCs w:val="24"/>
          <w:lang w:val="en-GB"/>
        </w:rPr>
        <w:t>o be linked</w:t>
      </w:r>
      <w:r w:rsidR="0086557E" w:rsidRPr="00CE66BE">
        <w:rPr>
          <w:rFonts w:cstheme="minorHAnsi"/>
          <w:sz w:val="24"/>
          <w:szCs w:val="24"/>
          <w:lang w:val="en-GB"/>
        </w:rPr>
        <w:t xml:space="preserve">. </w:t>
      </w:r>
      <w:r w:rsidR="00233AA0">
        <w:rPr>
          <w:rFonts w:cstheme="minorHAnsi"/>
          <w:sz w:val="24"/>
          <w:szCs w:val="24"/>
          <w:lang w:val="en-GB"/>
        </w:rPr>
        <w:t>T</w:t>
      </w:r>
      <w:r w:rsidR="0086557E" w:rsidRPr="00CE66BE">
        <w:rPr>
          <w:rFonts w:cstheme="minorHAnsi"/>
          <w:sz w:val="24"/>
          <w:szCs w:val="24"/>
          <w:lang w:val="en-GB"/>
        </w:rPr>
        <w:t xml:space="preserve">he </w:t>
      </w:r>
      <w:r w:rsidR="00374802">
        <w:rPr>
          <w:rFonts w:cstheme="minorHAnsi"/>
          <w:sz w:val="24"/>
          <w:szCs w:val="24"/>
          <w:lang w:val="en-GB"/>
        </w:rPr>
        <w:t xml:space="preserve">linkage was less complete </w:t>
      </w:r>
      <w:r w:rsidR="00A5064C">
        <w:rPr>
          <w:rFonts w:cstheme="minorHAnsi"/>
          <w:sz w:val="24"/>
          <w:szCs w:val="24"/>
          <w:lang w:val="en-GB"/>
        </w:rPr>
        <w:t xml:space="preserve">for </w:t>
      </w:r>
      <w:r w:rsidR="0086557E" w:rsidRPr="00CE66BE">
        <w:rPr>
          <w:rFonts w:cstheme="minorHAnsi"/>
          <w:sz w:val="24"/>
          <w:szCs w:val="24"/>
          <w:lang w:val="en-GB"/>
        </w:rPr>
        <w:t xml:space="preserve">the Italian </w:t>
      </w:r>
      <w:r w:rsidR="00374802">
        <w:rPr>
          <w:rFonts w:cstheme="minorHAnsi"/>
          <w:sz w:val="24"/>
          <w:szCs w:val="24"/>
          <w:lang w:val="en-GB"/>
        </w:rPr>
        <w:t xml:space="preserve">and English </w:t>
      </w:r>
      <w:r w:rsidR="0086557E" w:rsidRPr="00CE66BE">
        <w:rPr>
          <w:rFonts w:cstheme="minorHAnsi"/>
          <w:sz w:val="24"/>
          <w:szCs w:val="24"/>
          <w:lang w:val="en-GB"/>
        </w:rPr>
        <w:t>registries in this study possibly resulting in an overestimation of survival.</w:t>
      </w:r>
      <w:r w:rsidR="00E02C32" w:rsidRPr="00CE66BE">
        <w:rPr>
          <w:rFonts w:cstheme="minorHAnsi"/>
          <w:sz w:val="24"/>
          <w:szCs w:val="24"/>
          <w:lang w:val="en-GB"/>
        </w:rPr>
        <w:t xml:space="preserve"> Saxony-Anhalt (Germany) was </w:t>
      </w:r>
      <w:r w:rsidR="00E02C32" w:rsidRPr="00CE66BE">
        <w:rPr>
          <w:rFonts w:cstheme="minorHAnsi"/>
          <w:sz w:val="24"/>
          <w:szCs w:val="24"/>
          <w:lang w:val="en-GB"/>
        </w:rPr>
        <w:lastRenderedPageBreak/>
        <w:t>only able to manually link their births to death registrations, which did not allow an estimate of linkage rates to be obtained. However, the manual linkage may result in missed deaths and may explain the extremely high survival observed.</w:t>
      </w:r>
      <w:r w:rsidR="00081668" w:rsidRPr="00CE66BE">
        <w:rPr>
          <w:rFonts w:cstheme="minorHAnsi"/>
          <w:sz w:val="24"/>
          <w:szCs w:val="24"/>
          <w:lang w:val="en-GB"/>
        </w:rPr>
        <w:t xml:space="preserve"> Malta also manually linked their births to death registrations, but due to </w:t>
      </w:r>
      <w:r w:rsidR="00BE56B6" w:rsidRPr="00CE66BE">
        <w:rPr>
          <w:rFonts w:cstheme="minorHAnsi"/>
          <w:sz w:val="24"/>
          <w:szCs w:val="24"/>
          <w:lang w:val="en-GB"/>
        </w:rPr>
        <w:t>Malta being an island with a relatively small and stable population, there was more confidence that all deaths had been linked.</w:t>
      </w:r>
    </w:p>
    <w:p w14:paraId="126F5E7E" w14:textId="447F56C4" w:rsidR="00AD42E3" w:rsidRPr="00CE66BE" w:rsidRDefault="00E02C32" w:rsidP="00754F3C">
      <w:pPr>
        <w:spacing w:after="0" w:line="480" w:lineRule="auto"/>
        <w:rPr>
          <w:rFonts w:cstheme="minorHAnsi"/>
          <w:sz w:val="24"/>
          <w:szCs w:val="24"/>
          <w:lang w:val="en-GB"/>
        </w:rPr>
      </w:pPr>
      <w:r w:rsidRPr="00CE66BE">
        <w:rPr>
          <w:rFonts w:cstheme="minorHAnsi"/>
          <w:sz w:val="24"/>
          <w:szCs w:val="24"/>
          <w:lang w:val="en-GB"/>
        </w:rPr>
        <w:t>Secondly</w:t>
      </w:r>
      <w:r w:rsidR="0033724E" w:rsidRPr="00CE66BE">
        <w:rPr>
          <w:rFonts w:cstheme="minorHAnsi"/>
          <w:sz w:val="24"/>
          <w:szCs w:val="24"/>
          <w:lang w:val="en-GB"/>
        </w:rPr>
        <w:t>,</w:t>
      </w:r>
      <w:r w:rsidR="0086557E" w:rsidRPr="00CE66BE">
        <w:rPr>
          <w:rFonts w:cstheme="minorHAnsi"/>
          <w:sz w:val="24"/>
          <w:szCs w:val="24"/>
          <w:lang w:val="en-GB"/>
        </w:rPr>
        <w:t xml:space="preserve"> this study analysed survival </w:t>
      </w:r>
      <w:r w:rsidR="004C0450" w:rsidRPr="00CE66BE">
        <w:rPr>
          <w:rFonts w:cstheme="minorHAnsi"/>
          <w:sz w:val="24"/>
          <w:szCs w:val="24"/>
          <w:lang w:val="en-GB"/>
        </w:rPr>
        <w:t xml:space="preserve">for </w:t>
      </w:r>
      <w:r w:rsidR="00E64DBB" w:rsidRPr="00CE66BE">
        <w:rPr>
          <w:rFonts w:cstheme="minorHAnsi"/>
          <w:sz w:val="24"/>
          <w:szCs w:val="24"/>
          <w:lang w:val="en-GB"/>
        </w:rPr>
        <w:t>‘All anomalies’</w:t>
      </w:r>
      <w:r w:rsidR="004C0450" w:rsidRPr="00CE66BE">
        <w:rPr>
          <w:rFonts w:cstheme="minorHAnsi"/>
          <w:sz w:val="24"/>
          <w:szCs w:val="24"/>
          <w:lang w:val="en-GB"/>
        </w:rPr>
        <w:t xml:space="preserve"> which includes a wide range of heterogeneous conditions.</w:t>
      </w:r>
      <w:r w:rsidR="003C5E3B" w:rsidRPr="00CE66BE">
        <w:rPr>
          <w:rFonts w:cstheme="minorHAnsi"/>
          <w:sz w:val="24"/>
          <w:szCs w:val="24"/>
          <w:lang w:val="en-GB"/>
        </w:rPr>
        <w:t xml:space="preserve"> </w:t>
      </w:r>
      <w:r w:rsidR="0086557E" w:rsidRPr="00CE66BE">
        <w:rPr>
          <w:rFonts w:cstheme="minorHAnsi"/>
          <w:sz w:val="24"/>
          <w:szCs w:val="24"/>
          <w:lang w:val="en-GB"/>
        </w:rPr>
        <w:t xml:space="preserve">EUROCAT </w:t>
      </w:r>
      <w:r w:rsidR="00B4194E" w:rsidRPr="00CE66BE">
        <w:rPr>
          <w:rFonts w:cstheme="minorHAnsi"/>
          <w:sz w:val="24"/>
          <w:szCs w:val="24"/>
          <w:lang w:val="en-GB"/>
        </w:rPr>
        <w:t>issue</w:t>
      </w:r>
      <w:r w:rsidR="00A06892" w:rsidRPr="00CE66BE">
        <w:rPr>
          <w:rFonts w:cstheme="minorHAnsi"/>
          <w:sz w:val="24"/>
          <w:szCs w:val="24"/>
          <w:lang w:val="en-GB"/>
        </w:rPr>
        <w:t>s</w:t>
      </w:r>
      <w:r w:rsidR="00B4194E" w:rsidRPr="00CE66BE">
        <w:rPr>
          <w:rFonts w:cstheme="minorHAnsi"/>
          <w:sz w:val="24"/>
          <w:szCs w:val="24"/>
          <w:lang w:val="en-GB"/>
        </w:rPr>
        <w:t xml:space="preserve"> coding guidelines concerning classifying the CAs. However, the classification of children with </w:t>
      </w:r>
      <w:r w:rsidR="00AD42E3" w:rsidRPr="00CE66BE">
        <w:rPr>
          <w:rFonts w:cstheme="minorHAnsi"/>
          <w:sz w:val="24"/>
          <w:szCs w:val="24"/>
          <w:lang w:val="en-GB"/>
        </w:rPr>
        <w:t>CAs</w:t>
      </w:r>
      <w:r w:rsidR="00B4194E" w:rsidRPr="00CE66BE">
        <w:rPr>
          <w:rFonts w:cstheme="minorHAnsi"/>
          <w:sz w:val="24"/>
          <w:szCs w:val="24"/>
          <w:lang w:val="en-GB"/>
        </w:rPr>
        <w:t xml:space="preserve"> is likely to vary between registries, particularly for affiliate registries that only submit aggregate data to EUROCAT and whose individual case data cannot be examined to confirm consistency of coding. </w:t>
      </w:r>
      <w:r w:rsidR="004C0450" w:rsidRPr="00CE66BE">
        <w:rPr>
          <w:rFonts w:cstheme="minorHAnsi"/>
          <w:sz w:val="24"/>
          <w:szCs w:val="24"/>
          <w:lang w:val="en-GB"/>
        </w:rPr>
        <w:t>We</w:t>
      </w:r>
      <w:r w:rsidR="001F1887" w:rsidRPr="00CE66BE">
        <w:rPr>
          <w:rFonts w:cstheme="minorHAnsi"/>
          <w:sz w:val="24"/>
          <w:szCs w:val="24"/>
          <w:lang w:val="en-GB"/>
        </w:rPr>
        <w:t xml:space="preserve"> observed </w:t>
      </w:r>
      <w:r w:rsidR="00E5620C" w:rsidRPr="00CE66BE">
        <w:rPr>
          <w:rFonts w:cstheme="minorHAnsi"/>
          <w:sz w:val="24"/>
          <w:szCs w:val="24"/>
          <w:lang w:val="en-GB"/>
        </w:rPr>
        <w:t>high</w:t>
      </w:r>
      <w:r w:rsidR="001F1887" w:rsidRPr="00CE66BE">
        <w:rPr>
          <w:rFonts w:cstheme="minorHAnsi"/>
          <w:sz w:val="24"/>
          <w:szCs w:val="24"/>
          <w:lang w:val="en-GB"/>
        </w:rPr>
        <w:t xml:space="preserve"> </w:t>
      </w:r>
      <w:r w:rsidR="00351244" w:rsidRPr="00CE66BE">
        <w:rPr>
          <w:rFonts w:cstheme="minorHAnsi"/>
          <w:sz w:val="24"/>
          <w:szCs w:val="24"/>
          <w:lang w:val="en-GB"/>
        </w:rPr>
        <w:t xml:space="preserve">rates of </w:t>
      </w:r>
      <w:r w:rsidR="003C68E2" w:rsidRPr="00CE66BE">
        <w:rPr>
          <w:rFonts w:cstheme="minorHAnsi"/>
          <w:sz w:val="24"/>
          <w:szCs w:val="24"/>
          <w:lang w:val="en-GB"/>
        </w:rPr>
        <w:t>survival</w:t>
      </w:r>
      <w:r w:rsidR="00E71ECE" w:rsidRPr="00CE66BE">
        <w:rPr>
          <w:rFonts w:cstheme="minorHAnsi"/>
          <w:sz w:val="24"/>
          <w:szCs w:val="24"/>
          <w:lang w:val="en-GB"/>
        </w:rPr>
        <w:t xml:space="preserve"> </w:t>
      </w:r>
      <w:r w:rsidR="004C0450" w:rsidRPr="00CE66BE">
        <w:rPr>
          <w:rFonts w:cstheme="minorHAnsi"/>
          <w:sz w:val="24"/>
          <w:szCs w:val="24"/>
          <w:lang w:val="en-GB"/>
        </w:rPr>
        <w:t>for Finland</w:t>
      </w:r>
      <w:r w:rsidR="00AF7F36" w:rsidRPr="00CE66BE">
        <w:rPr>
          <w:rFonts w:cstheme="minorHAnsi"/>
          <w:sz w:val="24"/>
          <w:szCs w:val="24"/>
          <w:lang w:val="en-GB"/>
        </w:rPr>
        <w:t xml:space="preserve"> </w:t>
      </w:r>
      <w:r w:rsidR="00BE56B6" w:rsidRPr="00CE66BE">
        <w:rPr>
          <w:rFonts w:cstheme="minorHAnsi"/>
          <w:sz w:val="24"/>
          <w:szCs w:val="24"/>
          <w:lang w:val="en-GB"/>
        </w:rPr>
        <w:t xml:space="preserve">(an affiliate registry), </w:t>
      </w:r>
      <w:r w:rsidR="00AF7F36" w:rsidRPr="00CE66BE">
        <w:rPr>
          <w:rFonts w:cstheme="minorHAnsi"/>
          <w:sz w:val="24"/>
          <w:szCs w:val="24"/>
          <w:lang w:val="en-GB"/>
        </w:rPr>
        <w:t>which cannot be due to linkage problems as the quality of the linkage with national vital statistics was 100%</w:t>
      </w:r>
      <w:r w:rsidR="00B573AC" w:rsidRPr="00CE66BE">
        <w:rPr>
          <w:rFonts w:cstheme="minorHAnsi"/>
          <w:sz w:val="24"/>
          <w:szCs w:val="24"/>
          <w:lang w:val="en-GB"/>
        </w:rPr>
        <w:t>.</w:t>
      </w:r>
      <w:r w:rsidR="00AA13FE" w:rsidRPr="00CE66BE">
        <w:rPr>
          <w:rFonts w:cstheme="minorHAnsi"/>
          <w:sz w:val="24"/>
          <w:szCs w:val="24"/>
          <w:lang w:val="en-GB"/>
        </w:rPr>
        <w:t xml:space="preserve"> </w:t>
      </w:r>
      <w:r w:rsidR="006E4419" w:rsidRPr="00CE66BE">
        <w:rPr>
          <w:rFonts w:cstheme="minorHAnsi"/>
          <w:sz w:val="24"/>
          <w:szCs w:val="24"/>
          <w:lang w:val="en-GB"/>
        </w:rPr>
        <w:t>In this case,</w:t>
      </w:r>
      <w:r w:rsidR="00C25467" w:rsidRPr="00CE66BE">
        <w:rPr>
          <w:rFonts w:cstheme="minorHAnsi"/>
          <w:sz w:val="24"/>
          <w:szCs w:val="24"/>
          <w:lang w:val="en-GB"/>
        </w:rPr>
        <w:t xml:space="preserve"> </w:t>
      </w:r>
      <w:r w:rsidR="004E54C6" w:rsidRPr="00CE66BE">
        <w:rPr>
          <w:rFonts w:cstheme="minorHAnsi"/>
          <w:sz w:val="24"/>
          <w:szCs w:val="24"/>
          <w:lang w:val="en-GB"/>
        </w:rPr>
        <w:t xml:space="preserve">the </w:t>
      </w:r>
      <w:r w:rsidR="00C25467" w:rsidRPr="00CE66BE">
        <w:rPr>
          <w:rFonts w:cstheme="minorHAnsi"/>
          <w:sz w:val="24"/>
          <w:szCs w:val="24"/>
          <w:lang w:val="en-GB"/>
        </w:rPr>
        <w:t>t</w:t>
      </w:r>
      <w:r w:rsidR="003C68E2" w:rsidRPr="00CE66BE">
        <w:rPr>
          <w:rFonts w:cstheme="minorHAnsi"/>
          <w:sz w:val="24"/>
          <w:szCs w:val="24"/>
          <w:lang w:val="en-GB"/>
        </w:rPr>
        <w:t xml:space="preserve">otal </w:t>
      </w:r>
      <w:r w:rsidR="00AA15EF" w:rsidRPr="00CE66BE">
        <w:rPr>
          <w:rFonts w:cstheme="minorHAnsi"/>
          <w:sz w:val="24"/>
          <w:szCs w:val="24"/>
          <w:lang w:val="en-GB"/>
        </w:rPr>
        <w:t>live birth</w:t>
      </w:r>
      <w:r w:rsidR="003C68E2" w:rsidRPr="00CE66BE">
        <w:rPr>
          <w:rFonts w:cstheme="minorHAnsi"/>
          <w:sz w:val="24"/>
          <w:szCs w:val="24"/>
          <w:lang w:val="en-GB"/>
        </w:rPr>
        <w:t xml:space="preserve"> prevalence</w:t>
      </w:r>
      <w:r w:rsidR="006E4419" w:rsidRPr="00CE66BE">
        <w:rPr>
          <w:rFonts w:cstheme="minorHAnsi"/>
          <w:sz w:val="24"/>
          <w:szCs w:val="24"/>
          <w:lang w:val="en-GB"/>
        </w:rPr>
        <w:t xml:space="preserve"> observed for the Finnish </w:t>
      </w:r>
      <w:r w:rsidR="004E54C6" w:rsidRPr="00CE66BE">
        <w:rPr>
          <w:rFonts w:cstheme="minorHAnsi"/>
          <w:sz w:val="24"/>
          <w:szCs w:val="24"/>
          <w:lang w:val="en-GB"/>
        </w:rPr>
        <w:t xml:space="preserve">registry </w:t>
      </w:r>
      <w:r w:rsidR="003C68E2" w:rsidRPr="00CE66BE">
        <w:rPr>
          <w:rFonts w:cstheme="minorHAnsi"/>
          <w:sz w:val="24"/>
          <w:szCs w:val="24"/>
          <w:lang w:val="en-GB"/>
        </w:rPr>
        <w:t>was much higher than</w:t>
      </w:r>
      <w:r w:rsidR="0033724E" w:rsidRPr="00CE66BE">
        <w:rPr>
          <w:rFonts w:cstheme="minorHAnsi"/>
          <w:sz w:val="24"/>
          <w:szCs w:val="24"/>
          <w:lang w:val="en-GB"/>
        </w:rPr>
        <w:t xml:space="preserve"> for</w:t>
      </w:r>
      <w:r w:rsidR="003C68E2" w:rsidRPr="00CE66BE">
        <w:rPr>
          <w:rFonts w:cstheme="minorHAnsi"/>
          <w:sz w:val="24"/>
          <w:szCs w:val="24"/>
          <w:lang w:val="en-GB"/>
        </w:rPr>
        <w:t xml:space="preserve"> the other</w:t>
      </w:r>
      <w:r w:rsidR="00351244" w:rsidRPr="00CE66BE">
        <w:rPr>
          <w:rFonts w:cstheme="minorHAnsi"/>
          <w:sz w:val="24"/>
          <w:szCs w:val="24"/>
          <w:lang w:val="en-GB"/>
        </w:rPr>
        <w:t xml:space="preserve"> registrie</w:t>
      </w:r>
      <w:r w:rsidR="003C68E2" w:rsidRPr="00CE66BE">
        <w:rPr>
          <w:rFonts w:cstheme="minorHAnsi"/>
          <w:sz w:val="24"/>
          <w:szCs w:val="24"/>
          <w:lang w:val="en-GB"/>
        </w:rPr>
        <w:t xml:space="preserve">s (Table 1), </w:t>
      </w:r>
      <w:r w:rsidR="00660317" w:rsidRPr="00CE66BE">
        <w:rPr>
          <w:rFonts w:cstheme="minorHAnsi"/>
          <w:sz w:val="24"/>
          <w:szCs w:val="24"/>
          <w:lang w:val="en-GB"/>
        </w:rPr>
        <w:t>possibly</w:t>
      </w:r>
      <w:r w:rsidR="003C68E2" w:rsidRPr="00CE66BE">
        <w:rPr>
          <w:rFonts w:cstheme="minorHAnsi"/>
          <w:sz w:val="24"/>
          <w:szCs w:val="24"/>
          <w:lang w:val="en-GB"/>
        </w:rPr>
        <w:t xml:space="preserve"> due </w:t>
      </w:r>
      <w:r w:rsidR="004C0450" w:rsidRPr="00CE66BE">
        <w:rPr>
          <w:rFonts w:cstheme="minorHAnsi"/>
          <w:sz w:val="24"/>
          <w:szCs w:val="24"/>
          <w:lang w:val="en-GB"/>
        </w:rPr>
        <w:t xml:space="preserve">to </w:t>
      </w:r>
      <w:r w:rsidR="003C68E2" w:rsidRPr="00CE66BE">
        <w:rPr>
          <w:rFonts w:cstheme="minorHAnsi"/>
          <w:sz w:val="24"/>
          <w:szCs w:val="24"/>
          <w:lang w:val="en-GB"/>
        </w:rPr>
        <w:t xml:space="preserve">the inclusion of </w:t>
      </w:r>
      <w:r w:rsidR="00351244" w:rsidRPr="00CE66BE">
        <w:rPr>
          <w:rFonts w:cstheme="minorHAnsi"/>
          <w:sz w:val="24"/>
          <w:szCs w:val="24"/>
          <w:lang w:val="en-GB"/>
        </w:rPr>
        <w:t xml:space="preserve">more children with </w:t>
      </w:r>
      <w:r w:rsidR="003C68E2" w:rsidRPr="00CE66BE">
        <w:rPr>
          <w:rFonts w:cstheme="minorHAnsi"/>
          <w:sz w:val="24"/>
          <w:szCs w:val="24"/>
          <w:lang w:val="en-GB"/>
        </w:rPr>
        <w:t xml:space="preserve">less severe </w:t>
      </w:r>
      <w:r w:rsidR="004C0450" w:rsidRPr="00CE66BE">
        <w:rPr>
          <w:rFonts w:cstheme="minorHAnsi"/>
          <w:sz w:val="24"/>
          <w:szCs w:val="24"/>
          <w:lang w:val="en-GB"/>
        </w:rPr>
        <w:t>CA</w:t>
      </w:r>
      <w:r w:rsidR="00FE521F" w:rsidRPr="00CE66BE">
        <w:rPr>
          <w:rFonts w:cstheme="minorHAnsi"/>
          <w:sz w:val="24"/>
          <w:szCs w:val="24"/>
          <w:lang w:val="en-GB"/>
        </w:rPr>
        <w:t>s</w:t>
      </w:r>
      <w:r w:rsidR="003C68E2" w:rsidRPr="00CE66BE">
        <w:rPr>
          <w:rFonts w:cstheme="minorHAnsi"/>
          <w:sz w:val="24"/>
          <w:szCs w:val="24"/>
          <w:lang w:val="en-GB"/>
        </w:rPr>
        <w:t xml:space="preserve">. </w:t>
      </w:r>
      <w:r w:rsidR="009A689E" w:rsidRPr="00CE66BE">
        <w:rPr>
          <w:rFonts w:cstheme="minorHAnsi"/>
          <w:sz w:val="24"/>
          <w:szCs w:val="24"/>
          <w:lang w:val="en-GB"/>
        </w:rPr>
        <w:t xml:space="preserve">Figure </w:t>
      </w:r>
      <w:r w:rsidR="009F6775">
        <w:rPr>
          <w:rFonts w:cstheme="minorHAnsi"/>
          <w:sz w:val="24"/>
          <w:szCs w:val="24"/>
          <w:lang w:val="en-GB"/>
        </w:rPr>
        <w:t>2</w:t>
      </w:r>
      <w:r w:rsidR="009F6775" w:rsidRPr="00CE66BE">
        <w:rPr>
          <w:rFonts w:cstheme="minorHAnsi"/>
          <w:sz w:val="24"/>
          <w:szCs w:val="24"/>
          <w:lang w:val="en-GB"/>
        </w:rPr>
        <w:t xml:space="preserve"> </w:t>
      </w:r>
      <w:r w:rsidR="009A689E" w:rsidRPr="00CE66BE">
        <w:rPr>
          <w:rFonts w:cstheme="minorHAnsi"/>
          <w:sz w:val="24"/>
          <w:szCs w:val="24"/>
          <w:lang w:val="en-GB"/>
        </w:rPr>
        <w:t>indicates this may be the explanation as both the five year survival and the live birth prevalence</w:t>
      </w:r>
      <w:r w:rsidR="00851A43" w:rsidRPr="00CE66BE">
        <w:rPr>
          <w:rFonts w:cstheme="minorHAnsi"/>
          <w:sz w:val="24"/>
          <w:szCs w:val="24"/>
          <w:lang w:val="en-GB"/>
        </w:rPr>
        <w:t xml:space="preserve"> in Finland</w:t>
      </w:r>
      <w:r w:rsidR="009A689E" w:rsidRPr="00CE66BE">
        <w:rPr>
          <w:rFonts w:cstheme="minorHAnsi"/>
          <w:sz w:val="24"/>
          <w:szCs w:val="24"/>
          <w:lang w:val="en-GB"/>
        </w:rPr>
        <w:t xml:space="preserve"> were very high. </w:t>
      </w:r>
      <w:r w:rsidR="00B4194E" w:rsidRPr="00CE66BE">
        <w:rPr>
          <w:rFonts w:cstheme="minorHAnsi"/>
          <w:sz w:val="24"/>
          <w:szCs w:val="24"/>
          <w:lang w:val="en-GB"/>
        </w:rPr>
        <w:t>W</w:t>
      </w:r>
      <w:r w:rsidR="003C68E2" w:rsidRPr="00CE66BE">
        <w:rPr>
          <w:rFonts w:cstheme="minorHAnsi"/>
          <w:sz w:val="24"/>
          <w:szCs w:val="24"/>
          <w:lang w:val="en-GB"/>
        </w:rPr>
        <w:t xml:space="preserve">hen </w:t>
      </w:r>
      <w:r w:rsidR="004E54C6" w:rsidRPr="00CE66BE">
        <w:rPr>
          <w:rFonts w:cstheme="minorHAnsi"/>
          <w:sz w:val="24"/>
          <w:szCs w:val="24"/>
          <w:lang w:val="en-GB"/>
        </w:rPr>
        <w:t xml:space="preserve">analysing </w:t>
      </w:r>
      <w:r w:rsidR="003C68E2" w:rsidRPr="00CE66BE">
        <w:rPr>
          <w:rFonts w:cstheme="minorHAnsi"/>
          <w:sz w:val="24"/>
          <w:szCs w:val="24"/>
          <w:lang w:val="en-GB"/>
        </w:rPr>
        <w:t xml:space="preserve">specific </w:t>
      </w:r>
      <w:r w:rsidR="004C0450" w:rsidRPr="00CE66BE">
        <w:rPr>
          <w:rFonts w:cstheme="minorHAnsi"/>
          <w:sz w:val="24"/>
          <w:szCs w:val="24"/>
          <w:lang w:val="en-GB"/>
        </w:rPr>
        <w:t xml:space="preserve">CA </w:t>
      </w:r>
      <w:r w:rsidR="003C68E2" w:rsidRPr="00CE66BE">
        <w:rPr>
          <w:rFonts w:cstheme="minorHAnsi"/>
          <w:sz w:val="24"/>
          <w:szCs w:val="24"/>
          <w:lang w:val="en-GB"/>
        </w:rPr>
        <w:t>subgroup</w:t>
      </w:r>
      <w:r w:rsidR="00660317" w:rsidRPr="00CE66BE">
        <w:rPr>
          <w:rFonts w:cstheme="minorHAnsi"/>
          <w:sz w:val="24"/>
          <w:szCs w:val="24"/>
          <w:lang w:val="en-GB"/>
        </w:rPr>
        <w:t>s</w:t>
      </w:r>
      <w:r w:rsidR="00B4194E" w:rsidRPr="00CE66BE">
        <w:rPr>
          <w:rFonts w:cstheme="minorHAnsi"/>
          <w:sz w:val="24"/>
          <w:szCs w:val="24"/>
          <w:lang w:val="en-GB"/>
        </w:rPr>
        <w:t xml:space="preserve"> where the inclusion of less severe cases was unlikely</w:t>
      </w:r>
      <w:r w:rsidR="003C68E2" w:rsidRPr="00CE66BE">
        <w:rPr>
          <w:rFonts w:cstheme="minorHAnsi"/>
          <w:sz w:val="24"/>
          <w:szCs w:val="24"/>
          <w:lang w:val="en-GB"/>
        </w:rPr>
        <w:t xml:space="preserve">, </w:t>
      </w:r>
      <w:r w:rsidR="00C25467" w:rsidRPr="00CE66BE">
        <w:rPr>
          <w:rFonts w:cstheme="minorHAnsi"/>
          <w:sz w:val="24"/>
          <w:szCs w:val="24"/>
          <w:lang w:val="en-GB"/>
        </w:rPr>
        <w:t xml:space="preserve">such as </w:t>
      </w:r>
      <w:r w:rsidR="00ED2741" w:rsidRPr="00CE66BE">
        <w:rPr>
          <w:rFonts w:cstheme="minorHAnsi"/>
          <w:sz w:val="24"/>
          <w:szCs w:val="24"/>
          <w:lang w:val="en-GB"/>
        </w:rPr>
        <w:t xml:space="preserve">diaphragmatic </w:t>
      </w:r>
      <w:r w:rsidR="009A689E" w:rsidRPr="00CE66BE">
        <w:rPr>
          <w:rFonts w:cstheme="minorHAnsi"/>
          <w:sz w:val="24"/>
          <w:szCs w:val="24"/>
          <w:lang w:val="en-GB"/>
        </w:rPr>
        <w:t>hernia or</w:t>
      </w:r>
      <w:r w:rsidR="00660317" w:rsidRPr="00CE66BE">
        <w:rPr>
          <w:rFonts w:cstheme="minorHAnsi"/>
          <w:sz w:val="24"/>
          <w:szCs w:val="24"/>
          <w:lang w:val="en-GB"/>
        </w:rPr>
        <w:t xml:space="preserve"> </w:t>
      </w:r>
      <w:r w:rsidR="003B2655" w:rsidRPr="00CE66BE">
        <w:rPr>
          <w:rFonts w:cstheme="minorHAnsi"/>
          <w:sz w:val="24"/>
          <w:szCs w:val="24"/>
          <w:lang w:val="en-GB"/>
        </w:rPr>
        <w:t>t</w:t>
      </w:r>
      <w:r w:rsidR="00C25467" w:rsidRPr="00CE66BE">
        <w:rPr>
          <w:rFonts w:cstheme="minorHAnsi"/>
          <w:sz w:val="24"/>
          <w:szCs w:val="24"/>
          <w:lang w:val="en-GB"/>
        </w:rPr>
        <w:t xml:space="preserve">ransposition of great vessels, </w:t>
      </w:r>
      <w:r w:rsidR="003C68E2" w:rsidRPr="00CE66BE">
        <w:rPr>
          <w:rFonts w:cstheme="minorHAnsi"/>
          <w:sz w:val="24"/>
          <w:szCs w:val="24"/>
          <w:lang w:val="en-GB"/>
        </w:rPr>
        <w:t xml:space="preserve">the </w:t>
      </w:r>
      <w:r w:rsidR="004C0450" w:rsidRPr="00CE66BE">
        <w:rPr>
          <w:rFonts w:cstheme="minorHAnsi"/>
          <w:sz w:val="24"/>
          <w:szCs w:val="24"/>
          <w:lang w:val="en-GB"/>
        </w:rPr>
        <w:t xml:space="preserve">survival </w:t>
      </w:r>
      <w:r w:rsidR="003C68E2" w:rsidRPr="00CE66BE">
        <w:rPr>
          <w:rFonts w:cstheme="minorHAnsi"/>
          <w:sz w:val="24"/>
          <w:szCs w:val="24"/>
          <w:lang w:val="en-GB"/>
        </w:rPr>
        <w:t>estimate</w:t>
      </w:r>
      <w:r w:rsidR="00660317" w:rsidRPr="00CE66BE">
        <w:rPr>
          <w:rFonts w:cstheme="minorHAnsi"/>
          <w:sz w:val="24"/>
          <w:szCs w:val="24"/>
          <w:lang w:val="en-GB"/>
        </w:rPr>
        <w:t>s</w:t>
      </w:r>
      <w:r w:rsidR="006E4419" w:rsidRPr="00CE66BE">
        <w:rPr>
          <w:rFonts w:cstheme="minorHAnsi"/>
          <w:sz w:val="24"/>
          <w:szCs w:val="24"/>
          <w:lang w:val="en-GB"/>
        </w:rPr>
        <w:t xml:space="preserve"> </w:t>
      </w:r>
      <w:r w:rsidR="004E54C6" w:rsidRPr="00CE66BE">
        <w:rPr>
          <w:rFonts w:cstheme="minorHAnsi"/>
          <w:sz w:val="24"/>
          <w:szCs w:val="24"/>
          <w:lang w:val="en-GB"/>
        </w:rPr>
        <w:t>were</w:t>
      </w:r>
      <w:r w:rsidR="004C0450" w:rsidRPr="00CE66BE">
        <w:rPr>
          <w:rFonts w:cstheme="minorHAnsi"/>
          <w:sz w:val="24"/>
          <w:szCs w:val="24"/>
          <w:lang w:val="en-GB"/>
        </w:rPr>
        <w:t xml:space="preserve"> more</w:t>
      </w:r>
      <w:r w:rsidR="006E4419" w:rsidRPr="00CE66BE">
        <w:rPr>
          <w:rFonts w:cstheme="minorHAnsi"/>
          <w:sz w:val="24"/>
          <w:szCs w:val="24"/>
          <w:lang w:val="en-GB"/>
        </w:rPr>
        <w:t xml:space="preserve"> </w:t>
      </w:r>
      <w:r w:rsidR="003C68E2" w:rsidRPr="00CE66BE">
        <w:rPr>
          <w:rFonts w:cstheme="minorHAnsi"/>
          <w:sz w:val="24"/>
          <w:szCs w:val="24"/>
          <w:lang w:val="en-GB"/>
        </w:rPr>
        <w:t xml:space="preserve">similar to </w:t>
      </w:r>
      <w:r w:rsidR="004E54C6" w:rsidRPr="00CE66BE">
        <w:rPr>
          <w:rFonts w:cstheme="minorHAnsi"/>
          <w:sz w:val="24"/>
          <w:szCs w:val="24"/>
          <w:lang w:val="en-GB"/>
        </w:rPr>
        <w:t xml:space="preserve">the </w:t>
      </w:r>
      <w:r w:rsidR="003C68E2" w:rsidRPr="00CE66BE">
        <w:rPr>
          <w:rFonts w:cstheme="minorHAnsi"/>
          <w:sz w:val="24"/>
          <w:szCs w:val="24"/>
          <w:lang w:val="en-GB"/>
        </w:rPr>
        <w:t>other registries</w:t>
      </w:r>
      <w:r w:rsidR="009B0DC3">
        <w:rPr>
          <w:rFonts w:cstheme="minorHAnsi"/>
          <w:sz w:val="24"/>
          <w:szCs w:val="24"/>
          <w:lang w:val="en-GB"/>
        </w:rPr>
        <w:t xml:space="preserve"> (Figure S2)</w:t>
      </w:r>
      <w:r w:rsidR="003C68E2" w:rsidRPr="00CE66BE">
        <w:rPr>
          <w:rFonts w:cstheme="minorHAnsi"/>
          <w:sz w:val="24"/>
          <w:szCs w:val="24"/>
          <w:lang w:val="en-GB"/>
        </w:rPr>
        <w:t>.</w:t>
      </w:r>
      <w:r w:rsidR="00AD2D11" w:rsidRPr="00CE66BE">
        <w:rPr>
          <w:rFonts w:cstheme="minorHAnsi"/>
          <w:sz w:val="24"/>
          <w:szCs w:val="24"/>
          <w:lang w:val="en-GB"/>
        </w:rPr>
        <w:t xml:space="preserve"> </w:t>
      </w:r>
      <w:r w:rsidR="00C25467" w:rsidRPr="00CE66BE">
        <w:rPr>
          <w:rFonts w:cstheme="minorHAnsi"/>
          <w:sz w:val="24"/>
          <w:szCs w:val="24"/>
          <w:lang w:val="en-GB"/>
        </w:rPr>
        <w:t>Conversely</w:t>
      </w:r>
      <w:r w:rsidR="00D35D6B" w:rsidRPr="00CE66BE">
        <w:rPr>
          <w:rFonts w:cstheme="minorHAnsi"/>
          <w:sz w:val="24"/>
          <w:szCs w:val="24"/>
          <w:lang w:val="en-GB"/>
        </w:rPr>
        <w:t>,</w:t>
      </w:r>
      <w:r w:rsidR="003C68E2" w:rsidRPr="00CE66BE">
        <w:rPr>
          <w:rFonts w:cstheme="minorHAnsi"/>
          <w:sz w:val="24"/>
          <w:szCs w:val="24"/>
          <w:lang w:val="en-GB"/>
        </w:rPr>
        <w:t xml:space="preserve"> the low survival</w:t>
      </w:r>
      <w:r w:rsidR="00B573AC" w:rsidRPr="00CE66BE">
        <w:rPr>
          <w:rFonts w:cstheme="minorHAnsi"/>
          <w:sz w:val="24"/>
          <w:szCs w:val="24"/>
          <w:lang w:val="en-GB"/>
        </w:rPr>
        <w:t xml:space="preserve"> for </w:t>
      </w:r>
      <w:r w:rsidR="004E54C6" w:rsidRPr="00CE66BE">
        <w:rPr>
          <w:rFonts w:cstheme="minorHAnsi"/>
          <w:sz w:val="24"/>
          <w:szCs w:val="24"/>
          <w:lang w:val="en-GB"/>
        </w:rPr>
        <w:t xml:space="preserve">‘All </w:t>
      </w:r>
      <w:r w:rsidR="00B573AC" w:rsidRPr="00CE66BE">
        <w:rPr>
          <w:rFonts w:cstheme="minorHAnsi"/>
          <w:sz w:val="24"/>
          <w:szCs w:val="24"/>
          <w:lang w:val="en-GB"/>
        </w:rPr>
        <w:t>anomalies</w:t>
      </w:r>
      <w:r w:rsidR="004E54C6" w:rsidRPr="00CE66BE">
        <w:rPr>
          <w:rFonts w:cstheme="minorHAnsi"/>
          <w:sz w:val="24"/>
          <w:szCs w:val="24"/>
          <w:lang w:val="en-GB"/>
        </w:rPr>
        <w:t>’</w:t>
      </w:r>
      <w:r w:rsidR="00B573AC" w:rsidRPr="00CE66BE">
        <w:rPr>
          <w:rFonts w:cstheme="minorHAnsi"/>
          <w:sz w:val="24"/>
          <w:szCs w:val="24"/>
          <w:lang w:val="en-GB"/>
        </w:rPr>
        <w:t xml:space="preserve"> </w:t>
      </w:r>
      <w:r w:rsidR="003C68E2" w:rsidRPr="00CE66BE">
        <w:rPr>
          <w:rFonts w:cstheme="minorHAnsi"/>
          <w:sz w:val="24"/>
          <w:szCs w:val="24"/>
          <w:lang w:val="en-GB"/>
        </w:rPr>
        <w:t>observed for the three English registries</w:t>
      </w:r>
      <w:r w:rsidR="006E4419" w:rsidRPr="00CE66BE">
        <w:rPr>
          <w:rFonts w:cstheme="minorHAnsi"/>
          <w:sz w:val="24"/>
          <w:szCs w:val="24"/>
          <w:lang w:val="en-GB"/>
        </w:rPr>
        <w:t xml:space="preserve"> </w:t>
      </w:r>
      <w:r w:rsidR="004C0450" w:rsidRPr="00CE66BE">
        <w:rPr>
          <w:rFonts w:cstheme="minorHAnsi"/>
          <w:sz w:val="24"/>
          <w:szCs w:val="24"/>
          <w:lang w:val="en-GB"/>
        </w:rPr>
        <w:t>may</w:t>
      </w:r>
      <w:r w:rsidR="00341502" w:rsidRPr="00CE66BE">
        <w:rPr>
          <w:rFonts w:cstheme="minorHAnsi"/>
          <w:sz w:val="24"/>
          <w:szCs w:val="24"/>
          <w:lang w:val="en-GB"/>
        </w:rPr>
        <w:t xml:space="preserve"> </w:t>
      </w:r>
      <w:r w:rsidR="003C68E2" w:rsidRPr="00CE66BE">
        <w:rPr>
          <w:rFonts w:cstheme="minorHAnsi"/>
          <w:sz w:val="24"/>
          <w:szCs w:val="24"/>
          <w:lang w:val="en-GB"/>
        </w:rPr>
        <w:t xml:space="preserve">be explained by a low </w:t>
      </w:r>
      <w:r w:rsidR="00D568CC" w:rsidRPr="00CE66BE">
        <w:rPr>
          <w:rFonts w:cstheme="minorHAnsi"/>
          <w:sz w:val="24"/>
          <w:szCs w:val="24"/>
          <w:lang w:val="en-GB"/>
        </w:rPr>
        <w:t>live birth</w:t>
      </w:r>
      <w:r w:rsidR="003C68E2" w:rsidRPr="00CE66BE">
        <w:rPr>
          <w:rFonts w:cstheme="minorHAnsi"/>
          <w:sz w:val="24"/>
          <w:szCs w:val="24"/>
          <w:lang w:val="en-GB"/>
        </w:rPr>
        <w:t xml:space="preserve"> prevalence</w:t>
      </w:r>
      <w:r w:rsidR="00C25467" w:rsidRPr="00CE66BE">
        <w:rPr>
          <w:rFonts w:cstheme="minorHAnsi"/>
          <w:sz w:val="24"/>
          <w:szCs w:val="24"/>
          <w:lang w:val="en-GB"/>
        </w:rPr>
        <w:t xml:space="preserve"> possibly</w:t>
      </w:r>
      <w:r w:rsidR="003C68E2" w:rsidRPr="00CE66BE">
        <w:rPr>
          <w:rFonts w:cstheme="minorHAnsi"/>
          <w:sz w:val="24"/>
          <w:szCs w:val="24"/>
          <w:lang w:val="en-GB"/>
        </w:rPr>
        <w:t xml:space="preserve"> </w:t>
      </w:r>
      <w:r w:rsidR="00C25467" w:rsidRPr="00CE66BE">
        <w:rPr>
          <w:rFonts w:cstheme="minorHAnsi"/>
          <w:sz w:val="24"/>
          <w:szCs w:val="24"/>
          <w:lang w:val="en-GB"/>
        </w:rPr>
        <w:t>due to</w:t>
      </w:r>
      <w:r w:rsidR="0033724E" w:rsidRPr="00CE66BE">
        <w:rPr>
          <w:rFonts w:cstheme="minorHAnsi"/>
          <w:sz w:val="24"/>
          <w:szCs w:val="24"/>
          <w:lang w:val="en-GB"/>
        </w:rPr>
        <w:t xml:space="preserve"> under</w:t>
      </w:r>
      <w:r w:rsidR="00AF25B4" w:rsidRPr="00CE66BE">
        <w:rPr>
          <w:rFonts w:cstheme="minorHAnsi"/>
          <w:sz w:val="24"/>
          <w:szCs w:val="24"/>
          <w:lang w:val="en-GB"/>
        </w:rPr>
        <w:t>r</w:t>
      </w:r>
      <w:r w:rsidR="0033724E" w:rsidRPr="00CE66BE">
        <w:rPr>
          <w:rFonts w:cstheme="minorHAnsi"/>
          <w:sz w:val="24"/>
          <w:szCs w:val="24"/>
          <w:lang w:val="en-GB"/>
        </w:rPr>
        <w:t>eporting of less severe anomalies</w:t>
      </w:r>
      <w:r w:rsidR="003C68E2" w:rsidRPr="00CE66BE">
        <w:rPr>
          <w:rFonts w:cstheme="minorHAnsi"/>
          <w:sz w:val="24"/>
          <w:szCs w:val="24"/>
          <w:lang w:val="en-GB"/>
        </w:rPr>
        <w:t>.</w:t>
      </w:r>
      <w:r w:rsidR="00CC75D7" w:rsidRPr="00CE66BE">
        <w:rPr>
          <w:rFonts w:cstheme="minorHAnsi"/>
          <w:sz w:val="24"/>
          <w:szCs w:val="24"/>
          <w:lang w:val="en-GB"/>
        </w:rPr>
        <w:t xml:space="preserve"> </w:t>
      </w:r>
      <w:r w:rsidR="00AD42E3" w:rsidRPr="00CE66BE">
        <w:rPr>
          <w:rFonts w:cstheme="minorHAnsi"/>
          <w:sz w:val="24"/>
          <w:szCs w:val="24"/>
          <w:lang w:val="en-GB"/>
        </w:rPr>
        <w:t>C</w:t>
      </w:r>
      <w:r w:rsidR="004C0450" w:rsidRPr="00CE66BE">
        <w:rPr>
          <w:rFonts w:cstheme="minorHAnsi"/>
          <w:sz w:val="24"/>
          <w:szCs w:val="24"/>
          <w:lang w:val="en-GB"/>
        </w:rPr>
        <w:t>onsidering</w:t>
      </w:r>
      <w:r w:rsidR="006E4419" w:rsidRPr="00CE66BE">
        <w:rPr>
          <w:rFonts w:cstheme="minorHAnsi"/>
          <w:sz w:val="24"/>
          <w:szCs w:val="24"/>
          <w:lang w:val="en-GB"/>
        </w:rPr>
        <w:t xml:space="preserve"> the results of </w:t>
      </w:r>
      <w:r w:rsidR="003C68E2" w:rsidRPr="00CE66BE">
        <w:rPr>
          <w:rFonts w:cstheme="minorHAnsi"/>
          <w:sz w:val="24"/>
          <w:szCs w:val="24"/>
          <w:lang w:val="en-GB"/>
        </w:rPr>
        <w:t xml:space="preserve">the group </w:t>
      </w:r>
      <w:r w:rsidR="00137F6F" w:rsidRPr="00CE66BE">
        <w:rPr>
          <w:rFonts w:cstheme="minorHAnsi"/>
          <w:sz w:val="24"/>
          <w:szCs w:val="24"/>
          <w:lang w:val="en-GB"/>
        </w:rPr>
        <w:t xml:space="preserve">of </w:t>
      </w:r>
      <w:r w:rsidR="00E5620C" w:rsidRPr="00CE66BE">
        <w:rPr>
          <w:rFonts w:cstheme="minorHAnsi"/>
          <w:sz w:val="24"/>
          <w:szCs w:val="24"/>
          <w:lang w:val="en-GB"/>
        </w:rPr>
        <w:t xml:space="preserve">isolated </w:t>
      </w:r>
      <w:r w:rsidR="00137F6F" w:rsidRPr="00CE66BE">
        <w:rPr>
          <w:rFonts w:cstheme="minorHAnsi"/>
          <w:sz w:val="24"/>
          <w:szCs w:val="24"/>
          <w:lang w:val="en-GB"/>
        </w:rPr>
        <w:t>severe CHD</w:t>
      </w:r>
      <w:r w:rsidR="006E4419" w:rsidRPr="00CE66BE">
        <w:rPr>
          <w:rFonts w:cstheme="minorHAnsi"/>
          <w:sz w:val="24"/>
          <w:szCs w:val="24"/>
          <w:lang w:val="en-GB"/>
        </w:rPr>
        <w:t>s</w:t>
      </w:r>
      <w:r w:rsidR="00660317" w:rsidRPr="00CE66BE">
        <w:rPr>
          <w:rFonts w:cstheme="minorHAnsi"/>
          <w:sz w:val="24"/>
          <w:szCs w:val="24"/>
          <w:lang w:val="en-GB"/>
        </w:rPr>
        <w:t xml:space="preserve"> or specific subgroups</w:t>
      </w:r>
      <w:r w:rsidR="00D256C6" w:rsidRPr="00CE66BE">
        <w:rPr>
          <w:rFonts w:cstheme="minorHAnsi"/>
          <w:sz w:val="24"/>
          <w:szCs w:val="24"/>
          <w:lang w:val="en-GB"/>
        </w:rPr>
        <w:t xml:space="preserve">, </w:t>
      </w:r>
      <w:r w:rsidR="00137F6F" w:rsidRPr="00CE66BE">
        <w:rPr>
          <w:rFonts w:cstheme="minorHAnsi"/>
          <w:sz w:val="24"/>
          <w:szCs w:val="24"/>
          <w:lang w:val="en-GB"/>
        </w:rPr>
        <w:t xml:space="preserve">the </w:t>
      </w:r>
      <w:r w:rsidR="00D256C6" w:rsidRPr="00CE66BE">
        <w:rPr>
          <w:rFonts w:cstheme="minorHAnsi"/>
          <w:sz w:val="24"/>
          <w:szCs w:val="24"/>
          <w:lang w:val="en-GB"/>
        </w:rPr>
        <w:t xml:space="preserve">survival </w:t>
      </w:r>
      <w:r w:rsidR="00137F6F" w:rsidRPr="00CE66BE">
        <w:rPr>
          <w:rFonts w:cstheme="minorHAnsi"/>
          <w:sz w:val="24"/>
          <w:szCs w:val="24"/>
          <w:lang w:val="en-GB"/>
        </w:rPr>
        <w:t>estimates</w:t>
      </w:r>
      <w:r w:rsidR="006E4419" w:rsidRPr="00CE66BE">
        <w:rPr>
          <w:rFonts w:cstheme="minorHAnsi"/>
          <w:sz w:val="24"/>
          <w:szCs w:val="24"/>
          <w:lang w:val="en-GB"/>
        </w:rPr>
        <w:t xml:space="preserve"> for the English registries</w:t>
      </w:r>
      <w:r w:rsidR="00137F6F" w:rsidRPr="00CE66BE">
        <w:rPr>
          <w:rFonts w:cstheme="minorHAnsi"/>
          <w:sz w:val="24"/>
          <w:szCs w:val="24"/>
          <w:lang w:val="en-GB"/>
        </w:rPr>
        <w:t xml:space="preserve"> were similar to </w:t>
      </w:r>
      <w:r w:rsidR="006E4419" w:rsidRPr="00CE66BE">
        <w:rPr>
          <w:rFonts w:cstheme="minorHAnsi"/>
          <w:sz w:val="24"/>
          <w:szCs w:val="24"/>
          <w:lang w:val="en-GB"/>
        </w:rPr>
        <w:t xml:space="preserve">those of </w:t>
      </w:r>
      <w:r w:rsidR="00137F6F" w:rsidRPr="00CE66BE">
        <w:rPr>
          <w:rFonts w:cstheme="minorHAnsi"/>
          <w:sz w:val="24"/>
          <w:szCs w:val="24"/>
          <w:lang w:val="en-GB"/>
        </w:rPr>
        <w:t xml:space="preserve">the other </w:t>
      </w:r>
      <w:r w:rsidR="003B2655" w:rsidRPr="00CE66BE">
        <w:rPr>
          <w:rFonts w:cstheme="minorHAnsi"/>
          <w:sz w:val="24"/>
          <w:szCs w:val="24"/>
          <w:lang w:val="en-GB"/>
        </w:rPr>
        <w:t>registries.</w:t>
      </w:r>
      <w:r w:rsidR="0033724E" w:rsidRPr="00CE66BE">
        <w:rPr>
          <w:rFonts w:cstheme="minorHAnsi"/>
          <w:sz w:val="24"/>
          <w:szCs w:val="24"/>
          <w:lang w:val="en-GB"/>
        </w:rPr>
        <w:t xml:space="preserve"> </w:t>
      </w:r>
      <w:r w:rsidRPr="00CE66BE">
        <w:rPr>
          <w:rFonts w:cstheme="minorHAnsi"/>
          <w:sz w:val="24"/>
          <w:szCs w:val="24"/>
          <w:lang w:val="en-GB"/>
        </w:rPr>
        <w:t xml:space="preserve">Expressing </w:t>
      </w:r>
      <w:r w:rsidR="000528C7" w:rsidRPr="00CE66BE">
        <w:rPr>
          <w:rFonts w:cstheme="minorHAnsi"/>
          <w:sz w:val="24"/>
          <w:szCs w:val="24"/>
          <w:lang w:val="en-GB"/>
        </w:rPr>
        <w:t xml:space="preserve">the mortality of cases with CAs </w:t>
      </w:r>
      <w:r w:rsidRPr="00CE66BE">
        <w:rPr>
          <w:rFonts w:cstheme="minorHAnsi"/>
          <w:sz w:val="24"/>
          <w:szCs w:val="24"/>
          <w:lang w:val="en-GB"/>
        </w:rPr>
        <w:t>per 10,000</w:t>
      </w:r>
      <w:r w:rsidR="000528C7" w:rsidRPr="00CE66BE">
        <w:rPr>
          <w:rFonts w:cstheme="minorHAnsi"/>
          <w:sz w:val="24"/>
          <w:szCs w:val="24"/>
          <w:lang w:val="en-GB"/>
        </w:rPr>
        <w:t xml:space="preserve"> population</w:t>
      </w:r>
      <w:r w:rsidRPr="00CE66BE">
        <w:rPr>
          <w:rFonts w:cstheme="minorHAnsi"/>
          <w:sz w:val="24"/>
          <w:szCs w:val="24"/>
          <w:lang w:val="en-GB"/>
        </w:rPr>
        <w:t xml:space="preserve"> births</w:t>
      </w:r>
      <w:r w:rsidR="000528C7" w:rsidRPr="00CE66BE">
        <w:rPr>
          <w:rFonts w:cstheme="minorHAnsi"/>
          <w:sz w:val="24"/>
          <w:szCs w:val="24"/>
          <w:lang w:val="en-GB"/>
        </w:rPr>
        <w:t xml:space="preserve">, </w:t>
      </w:r>
      <w:r w:rsidR="00A22EAA" w:rsidRPr="00CE66BE">
        <w:rPr>
          <w:rFonts w:cstheme="minorHAnsi"/>
          <w:sz w:val="24"/>
          <w:szCs w:val="24"/>
          <w:lang w:val="en-GB"/>
        </w:rPr>
        <w:t xml:space="preserve">rather than </w:t>
      </w:r>
      <w:r w:rsidRPr="00CE66BE">
        <w:rPr>
          <w:rFonts w:cstheme="minorHAnsi"/>
          <w:sz w:val="24"/>
          <w:szCs w:val="24"/>
          <w:lang w:val="en-GB"/>
        </w:rPr>
        <w:t xml:space="preserve">per birth with a CA, provided further insight into both the heterogeneity of `All </w:t>
      </w:r>
      <w:r w:rsidRPr="00CE66BE">
        <w:rPr>
          <w:rFonts w:cstheme="minorHAnsi"/>
          <w:sz w:val="24"/>
          <w:szCs w:val="24"/>
          <w:lang w:val="en-GB"/>
        </w:rPr>
        <w:lastRenderedPageBreak/>
        <w:t xml:space="preserve">anomalies’ and differences in linkage quality. </w:t>
      </w:r>
      <w:r w:rsidR="00F158E7" w:rsidRPr="00CE66BE">
        <w:rPr>
          <w:rFonts w:cstheme="minorHAnsi"/>
          <w:sz w:val="24"/>
          <w:szCs w:val="24"/>
          <w:lang w:val="en-GB"/>
        </w:rPr>
        <w:t xml:space="preserve">The infant mortality of cases with CAs in Finland was similar to most of the other registries, confirming that the </w:t>
      </w:r>
      <w:r w:rsidR="005A2387" w:rsidRPr="00CE66BE">
        <w:rPr>
          <w:rFonts w:cstheme="minorHAnsi"/>
          <w:sz w:val="24"/>
          <w:szCs w:val="24"/>
          <w:lang w:val="en-GB"/>
        </w:rPr>
        <w:t>high</w:t>
      </w:r>
      <w:r w:rsidR="00F158E7" w:rsidRPr="00CE66BE">
        <w:rPr>
          <w:rFonts w:cstheme="minorHAnsi"/>
          <w:sz w:val="24"/>
          <w:szCs w:val="24"/>
          <w:lang w:val="en-GB"/>
        </w:rPr>
        <w:t xml:space="preserve"> survival estimate </w:t>
      </w:r>
      <w:r w:rsidR="00211270" w:rsidRPr="00CE66BE">
        <w:rPr>
          <w:rFonts w:cstheme="minorHAnsi"/>
          <w:sz w:val="24"/>
          <w:szCs w:val="24"/>
          <w:lang w:val="en-GB"/>
        </w:rPr>
        <w:t>was</w:t>
      </w:r>
      <w:r w:rsidR="00F158E7" w:rsidRPr="00CE66BE">
        <w:rPr>
          <w:rFonts w:cstheme="minorHAnsi"/>
          <w:sz w:val="24"/>
          <w:szCs w:val="24"/>
          <w:lang w:val="en-GB"/>
        </w:rPr>
        <w:t xml:space="preserve"> partially explained by the inclusion </w:t>
      </w:r>
      <w:r w:rsidR="00A22EAA" w:rsidRPr="00CE66BE">
        <w:rPr>
          <w:rFonts w:cstheme="minorHAnsi"/>
          <w:sz w:val="24"/>
          <w:szCs w:val="24"/>
          <w:lang w:val="en-GB"/>
        </w:rPr>
        <w:t xml:space="preserve">in the cohort </w:t>
      </w:r>
      <w:r w:rsidR="00F158E7" w:rsidRPr="00CE66BE">
        <w:rPr>
          <w:rFonts w:cstheme="minorHAnsi"/>
          <w:sz w:val="24"/>
          <w:szCs w:val="24"/>
          <w:lang w:val="en-GB"/>
        </w:rPr>
        <w:t xml:space="preserve">of more children with </w:t>
      </w:r>
      <w:r w:rsidR="00F158E7" w:rsidRPr="00CE66BE">
        <w:rPr>
          <w:rFonts w:cstheme="minorHAnsi"/>
          <w:sz w:val="24"/>
          <w:lang w:val="en-GB"/>
        </w:rPr>
        <w:t>less severe CAs</w:t>
      </w:r>
      <w:r w:rsidR="00F158E7" w:rsidRPr="00CE66BE">
        <w:rPr>
          <w:rFonts w:cstheme="minorHAnsi"/>
          <w:sz w:val="24"/>
          <w:szCs w:val="24"/>
          <w:lang w:val="en-GB"/>
        </w:rPr>
        <w:t xml:space="preserve">. </w:t>
      </w:r>
      <w:r w:rsidR="00CC3513" w:rsidRPr="00CE66BE">
        <w:rPr>
          <w:rFonts w:cstheme="minorHAnsi"/>
          <w:sz w:val="24"/>
          <w:szCs w:val="24"/>
          <w:lang w:val="en-GB"/>
        </w:rPr>
        <w:t>R</w:t>
      </w:r>
      <w:r w:rsidR="000528C7" w:rsidRPr="00CE66BE">
        <w:rPr>
          <w:rFonts w:cstheme="minorHAnsi"/>
          <w:sz w:val="24"/>
          <w:szCs w:val="24"/>
          <w:lang w:val="en-GB"/>
        </w:rPr>
        <w:t xml:space="preserve">egistries with </w:t>
      </w:r>
      <w:r w:rsidR="00CC3513" w:rsidRPr="00CE66BE">
        <w:rPr>
          <w:rFonts w:cstheme="minorHAnsi"/>
          <w:sz w:val="24"/>
          <w:szCs w:val="24"/>
          <w:lang w:val="en-GB"/>
        </w:rPr>
        <w:t>a lower</w:t>
      </w:r>
      <w:r w:rsidR="001A7849" w:rsidRPr="00CE66BE">
        <w:rPr>
          <w:rFonts w:cstheme="minorHAnsi"/>
          <w:sz w:val="24"/>
          <w:szCs w:val="24"/>
          <w:lang w:val="en-GB"/>
        </w:rPr>
        <w:t xml:space="preserve"> </w:t>
      </w:r>
      <w:r w:rsidR="00CC3513" w:rsidRPr="00CE66BE">
        <w:rPr>
          <w:rFonts w:cstheme="minorHAnsi"/>
          <w:sz w:val="24"/>
          <w:szCs w:val="24"/>
          <w:lang w:val="en-GB"/>
        </w:rPr>
        <w:t>level of linkage quality</w:t>
      </w:r>
      <w:r w:rsidR="00347EDE" w:rsidRPr="00CE66BE">
        <w:rPr>
          <w:rFonts w:cstheme="minorHAnsi"/>
          <w:sz w:val="24"/>
          <w:szCs w:val="24"/>
          <w:lang w:val="en-GB"/>
        </w:rPr>
        <w:t xml:space="preserve"> had</w:t>
      </w:r>
      <w:r w:rsidR="00CC3513" w:rsidRPr="00CE66BE">
        <w:rPr>
          <w:rFonts w:cstheme="minorHAnsi"/>
          <w:sz w:val="24"/>
          <w:szCs w:val="24"/>
          <w:lang w:val="en-GB"/>
        </w:rPr>
        <w:t xml:space="preserve"> the lowest mortality rates </w:t>
      </w:r>
      <w:r w:rsidR="000528C7" w:rsidRPr="00CE66BE">
        <w:rPr>
          <w:rFonts w:cstheme="minorHAnsi"/>
          <w:sz w:val="24"/>
          <w:szCs w:val="24"/>
          <w:lang w:val="en-GB"/>
        </w:rPr>
        <w:t>(i.e</w:t>
      </w:r>
      <w:r w:rsidR="00471F0F" w:rsidRPr="00CE66BE">
        <w:rPr>
          <w:rFonts w:cstheme="minorHAnsi"/>
          <w:sz w:val="24"/>
          <w:szCs w:val="24"/>
          <w:lang w:val="en-GB"/>
        </w:rPr>
        <w:t>.</w:t>
      </w:r>
      <w:r w:rsidR="000528C7" w:rsidRPr="00CE66BE">
        <w:rPr>
          <w:rFonts w:cstheme="minorHAnsi"/>
          <w:sz w:val="24"/>
          <w:szCs w:val="24"/>
          <w:lang w:val="en-GB"/>
        </w:rPr>
        <w:t xml:space="preserve"> Italia</w:t>
      </w:r>
      <w:r w:rsidR="00AD2D11" w:rsidRPr="00CE66BE">
        <w:rPr>
          <w:rFonts w:cstheme="minorHAnsi"/>
          <w:sz w:val="24"/>
          <w:szCs w:val="24"/>
          <w:lang w:val="en-GB"/>
        </w:rPr>
        <w:t>n registries and Saxony-</w:t>
      </w:r>
      <w:r w:rsidR="000528C7" w:rsidRPr="00CE66BE">
        <w:rPr>
          <w:rFonts w:cstheme="minorHAnsi"/>
          <w:sz w:val="24"/>
          <w:szCs w:val="24"/>
          <w:lang w:val="en-GB"/>
        </w:rPr>
        <w:t>Anhalt</w:t>
      </w:r>
      <w:r w:rsidR="000220B5" w:rsidRPr="00CE66BE">
        <w:rPr>
          <w:rFonts w:cstheme="minorHAnsi"/>
          <w:sz w:val="24"/>
          <w:szCs w:val="24"/>
          <w:lang w:val="en-GB"/>
        </w:rPr>
        <w:t xml:space="preserve"> (Germany)</w:t>
      </w:r>
      <w:r w:rsidR="000528C7" w:rsidRPr="00CE66BE">
        <w:rPr>
          <w:rFonts w:cstheme="minorHAnsi"/>
          <w:sz w:val="24"/>
          <w:szCs w:val="24"/>
          <w:lang w:val="en-GB"/>
        </w:rPr>
        <w:t xml:space="preserve">), confirming that </w:t>
      </w:r>
      <w:r w:rsidR="00CC3513" w:rsidRPr="00CE66BE">
        <w:rPr>
          <w:rFonts w:cstheme="minorHAnsi"/>
          <w:sz w:val="24"/>
          <w:szCs w:val="24"/>
          <w:lang w:val="en-GB"/>
        </w:rPr>
        <w:t xml:space="preserve">poor </w:t>
      </w:r>
      <w:r w:rsidR="000528C7" w:rsidRPr="00CE66BE">
        <w:rPr>
          <w:rFonts w:cstheme="minorHAnsi"/>
          <w:sz w:val="24"/>
          <w:szCs w:val="24"/>
          <w:lang w:val="en-GB"/>
        </w:rPr>
        <w:t xml:space="preserve">linkage </w:t>
      </w:r>
      <w:r w:rsidR="009D47F3" w:rsidRPr="00CE66BE">
        <w:rPr>
          <w:rFonts w:cstheme="minorHAnsi"/>
          <w:sz w:val="24"/>
          <w:szCs w:val="24"/>
          <w:lang w:val="en-GB"/>
        </w:rPr>
        <w:t>can bias</w:t>
      </w:r>
      <w:r w:rsidR="00CC3513" w:rsidRPr="00CE66BE">
        <w:rPr>
          <w:rFonts w:cstheme="minorHAnsi"/>
          <w:sz w:val="24"/>
          <w:szCs w:val="24"/>
          <w:lang w:val="en-GB"/>
        </w:rPr>
        <w:t xml:space="preserve"> mortality/survival estimates</w:t>
      </w:r>
      <w:r w:rsidR="000528C7" w:rsidRPr="00CE66BE">
        <w:rPr>
          <w:rFonts w:cstheme="minorHAnsi"/>
          <w:sz w:val="24"/>
          <w:szCs w:val="24"/>
          <w:lang w:val="en-GB"/>
        </w:rPr>
        <w:t xml:space="preserve"> </w:t>
      </w:r>
      <w:r w:rsidR="00CC3513" w:rsidRPr="00CE66BE">
        <w:rPr>
          <w:rFonts w:cstheme="minorHAnsi"/>
          <w:sz w:val="24"/>
          <w:szCs w:val="24"/>
          <w:lang w:val="en-GB"/>
        </w:rPr>
        <w:t>because early deaths are more likely not to be linked</w:t>
      </w:r>
      <w:r w:rsidR="00B06218" w:rsidRPr="00CE66BE">
        <w:rPr>
          <w:rFonts w:cstheme="minorHAnsi"/>
          <w:sz w:val="24"/>
          <w:szCs w:val="24"/>
          <w:lang w:val="en-GB"/>
        </w:rPr>
        <w:t>.</w:t>
      </w:r>
    </w:p>
    <w:p w14:paraId="3B738DE1" w14:textId="38AAFE51" w:rsidR="00341E60" w:rsidRDefault="008471D7" w:rsidP="00754F3C">
      <w:pPr>
        <w:spacing w:after="0" w:line="480" w:lineRule="auto"/>
        <w:rPr>
          <w:rFonts w:cstheme="minorHAnsi"/>
          <w:sz w:val="24"/>
          <w:szCs w:val="24"/>
          <w:lang w:val="en-GB"/>
        </w:rPr>
      </w:pPr>
      <w:r w:rsidRPr="00CE66BE">
        <w:rPr>
          <w:rFonts w:cstheme="minorHAnsi"/>
          <w:sz w:val="24"/>
          <w:szCs w:val="24"/>
          <w:lang w:val="en-GB"/>
        </w:rPr>
        <w:t xml:space="preserve">Finally, there may be true variations in survival. For the OMNI-Net (Ukraine) registry, the only registry from Eastern Europe, we observed the lowest survival estimates in all the analyses. </w:t>
      </w:r>
      <w:r w:rsidRPr="00CE66BE">
        <w:rPr>
          <w:rFonts w:cstheme="minorHAnsi"/>
          <w:color w:val="000000" w:themeColor="text1"/>
          <w:sz w:val="24"/>
          <w:szCs w:val="24"/>
          <w:lang w:val="en-GB"/>
        </w:rPr>
        <w:t>These results are consistent with the high infant mortality in the</w:t>
      </w:r>
      <w:r w:rsidR="004062D0">
        <w:rPr>
          <w:rFonts w:cstheme="minorHAnsi"/>
          <w:color w:val="000000" w:themeColor="text1"/>
          <w:sz w:val="24"/>
          <w:szCs w:val="24"/>
          <w:lang w:val="en-GB"/>
        </w:rPr>
        <w:t xml:space="preserve"> general population of Ukraine</w:t>
      </w:r>
      <w:r w:rsidRPr="004062D0">
        <w:rPr>
          <w:rFonts w:cstheme="minorHAnsi"/>
          <w:color w:val="000000" w:themeColor="text1"/>
          <w:sz w:val="24"/>
          <w:szCs w:val="24"/>
          <w:vertAlign w:val="superscript"/>
          <w:lang w:val="en-GB"/>
        </w:rPr>
        <w:t xml:space="preserve">11, </w:t>
      </w:r>
      <w:r w:rsidR="00331079">
        <w:rPr>
          <w:rFonts w:cstheme="minorHAnsi"/>
          <w:color w:val="000000" w:themeColor="text1"/>
          <w:sz w:val="24"/>
          <w:szCs w:val="24"/>
          <w:vertAlign w:val="superscript"/>
          <w:lang w:val="en-GB"/>
        </w:rPr>
        <w:t>31</w:t>
      </w:r>
      <w:r w:rsidR="00331079">
        <w:rPr>
          <w:rFonts w:cstheme="minorHAnsi"/>
          <w:color w:val="000000" w:themeColor="text1"/>
          <w:sz w:val="24"/>
          <w:szCs w:val="24"/>
          <w:lang w:val="en-GB"/>
        </w:rPr>
        <w:t xml:space="preserve"> </w:t>
      </w:r>
      <w:r w:rsidR="004062D0">
        <w:rPr>
          <w:rFonts w:cstheme="minorHAnsi"/>
          <w:color w:val="000000" w:themeColor="text1"/>
          <w:sz w:val="24"/>
          <w:szCs w:val="24"/>
          <w:lang w:val="en-GB"/>
        </w:rPr>
        <w:t>and mortality for CAs</w:t>
      </w:r>
      <w:r w:rsidRPr="00CE66BE">
        <w:rPr>
          <w:rFonts w:cstheme="minorHAnsi"/>
          <w:color w:val="000000" w:themeColor="text1"/>
          <w:sz w:val="24"/>
          <w:szCs w:val="24"/>
          <w:lang w:val="en-GB"/>
        </w:rPr>
        <w:t>.</w:t>
      </w:r>
      <w:r w:rsidR="004062D0" w:rsidRPr="004062D0">
        <w:rPr>
          <w:rFonts w:cstheme="minorHAnsi"/>
          <w:color w:val="000000" w:themeColor="text1"/>
          <w:sz w:val="24"/>
          <w:szCs w:val="24"/>
          <w:vertAlign w:val="superscript"/>
          <w:lang w:val="en-GB"/>
        </w:rPr>
        <w:t>12</w:t>
      </w:r>
      <w:r w:rsidRPr="00CE66BE">
        <w:rPr>
          <w:rFonts w:cstheme="minorHAnsi"/>
          <w:color w:val="000000" w:themeColor="text1"/>
          <w:sz w:val="24"/>
          <w:szCs w:val="24"/>
          <w:lang w:val="en-GB"/>
        </w:rPr>
        <w:t xml:space="preserve"> A high risk of mortality under 5 years of age has also been reported for all Eastern Europe</w:t>
      </w:r>
      <w:r w:rsidR="004062D0">
        <w:rPr>
          <w:rFonts w:cstheme="minorHAnsi"/>
          <w:color w:val="000000" w:themeColor="text1"/>
          <w:sz w:val="24"/>
          <w:szCs w:val="24"/>
          <w:lang w:val="en-GB"/>
        </w:rPr>
        <w:t>.</w:t>
      </w:r>
      <w:r w:rsidR="00331079">
        <w:rPr>
          <w:rFonts w:cstheme="minorHAnsi"/>
          <w:color w:val="000000" w:themeColor="text1"/>
          <w:sz w:val="24"/>
          <w:szCs w:val="24"/>
          <w:vertAlign w:val="superscript"/>
          <w:lang w:val="en-GB"/>
        </w:rPr>
        <w:t>32</w:t>
      </w:r>
      <w:r w:rsidR="00331079" w:rsidRPr="00CE66BE">
        <w:rPr>
          <w:rFonts w:cstheme="minorHAnsi"/>
          <w:color w:val="000000" w:themeColor="text1"/>
          <w:sz w:val="24"/>
          <w:szCs w:val="24"/>
          <w:lang w:val="en-GB"/>
        </w:rPr>
        <w:t xml:space="preserve"> </w:t>
      </w:r>
      <w:r w:rsidRPr="00CE66BE">
        <w:rPr>
          <w:rFonts w:cstheme="minorHAnsi"/>
          <w:color w:val="000000" w:themeColor="text1"/>
          <w:sz w:val="24"/>
          <w:szCs w:val="24"/>
          <w:lang w:val="en-GB"/>
        </w:rPr>
        <w:t xml:space="preserve">Both the low survival at 28 days and the low five year survival conditional on survival at 28 days (Table 3) indicate that </w:t>
      </w:r>
      <w:r w:rsidRPr="00CE66BE">
        <w:rPr>
          <w:rFonts w:cstheme="minorHAnsi"/>
          <w:color w:val="000000" w:themeColor="text1"/>
          <w:sz w:val="24"/>
          <w:szCs w:val="24"/>
          <w:lang w:val="en-US"/>
        </w:rPr>
        <w:t>programs in Ukraine concerned with the care of children with CAs may need greater attention</w:t>
      </w:r>
      <w:r w:rsidRPr="00CE66BE">
        <w:rPr>
          <w:rFonts w:cstheme="minorHAnsi"/>
          <w:color w:val="000000" w:themeColor="text1"/>
          <w:sz w:val="24"/>
          <w:szCs w:val="24"/>
          <w:lang w:val="en-GB"/>
        </w:rPr>
        <w:t>.</w:t>
      </w:r>
      <w:r w:rsidRPr="00CE66BE">
        <w:rPr>
          <w:rFonts w:cstheme="minorHAnsi"/>
          <w:sz w:val="24"/>
          <w:szCs w:val="24"/>
          <w:lang w:val="en-GB"/>
        </w:rPr>
        <w:t> </w:t>
      </w:r>
    </w:p>
    <w:p w14:paraId="12E02B00" w14:textId="456B4A48" w:rsidR="00F844A8" w:rsidRDefault="00E02C32" w:rsidP="00754F3C">
      <w:pPr>
        <w:spacing w:after="0" w:line="480" w:lineRule="auto"/>
        <w:rPr>
          <w:rFonts w:cstheme="minorHAnsi"/>
          <w:sz w:val="24"/>
          <w:szCs w:val="24"/>
          <w:lang w:val="en-GB"/>
        </w:rPr>
      </w:pPr>
      <w:r w:rsidRPr="00CE66BE">
        <w:rPr>
          <w:rFonts w:cstheme="minorHAnsi"/>
          <w:sz w:val="24"/>
          <w:szCs w:val="24"/>
          <w:lang w:val="en-GB"/>
        </w:rPr>
        <w:t xml:space="preserve">The lower survival estimates for Malta were expected, since </w:t>
      </w:r>
      <w:r w:rsidR="00CC75D7" w:rsidRPr="00CE66BE">
        <w:rPr>
          <w:rFonts w:cstheme="minorHAnsi"/>
          <w:sz w:val="24"/>
          <w:szCs w:val="24"/>
          <w:lang w:val="en-GB"/>
        </w:rPr>
        <w:t>TOPFA</w:t>
      </w:r>
      <w:r w:rsidRPr="00CE66BE">
        <w:rPr>
          <w:rFonts w:cstheme="minorHAnsi"/>
          <w:sz w:val="24"/>
          <w:szCs w:val="24"/>
          <w:lang w:val="en-GB"/>
        </w:rPr>
        <w:t xml:space="preserve"> is illegal in this country and this results in a higher mortality in the first week/month of life, in particular </w:t>
      </w:r>
      <w:r w:rsidR="00FE521F" w:rsidRPr="00CE66BE">
        <w:rPr>
          <w:rFonts w:cstheme="minorHAnsi"/>
          <w:sz w:val="24"/>
          <w:szCs w:val="24"/>
          <w:lang w:val="en-GB"/>
        </w:rPr>
        <w:t>for</w:t>
      </w:r>
      <w:r w:rsidRPr="00CE66BE">
        <w:rPr>
          <w:rFonts w:cstheme="minorHAnsi"/>
          <w:sz w:val="24"/>
          <w:szCs w:val="24"/>
          <w:lang w:val="en-GB"/>
        </w:rPr>
        <w:t xml:space="preserve"> severe CAs</w:t>
      </w:r>
      <w:r w:rsidR="00C444ED" w:rsidRPr="00CE66BE">
        <w:rPr>
          <w:rFonts w:cstheme="minorHAnsi"/>
          <w:sz w:val="24"/>
          <w:szCs w:val="24"/>
          <w:lang w:val="en-GB"/>
        </w:rPr>
        <w:t>.</w:t>
      </w:r>
      <w:r w:rsidR="00331079">
        <w:rPr>
          <w:rFonts w:cstheme="minorHAnsi"/>
          <w:sz w:val="24"/>
          <w:szCs w:val="24"/>
          <w:vertAlign w:val="superscript"/>
          <w:lang w:val="en-GB"/>
        </w:rPr>
        <w:t>19</w:t>
      </w:r>
      <w:r w:rsidR="00331079" w:rsidRPr="00CE66BE">
        <w:rPr>
          <w:rFonts w:cstheme="minorHAnsi"/>
          <w:sz w:val="24"/>
          <w:szCs w:val="24"/>
          <w:lang w:val="en-GB"/>
        </w:rPr>
        <w:t xml:space="preserve"> </w:t>
      </w:r>
      <w:r w:rsidRPr="00CE66BE">
        <w:rPr>
          <w:rFonts w:cstheme="minorHAnsi"/>
          <w:sz w:val="24"/>
          <w:szCs w:val="24"/>
          <w:lang w:val="en-GB"/>
        </w:rPr>
        <w:t xml:space="preserve">When further survival is estimated for </w:t>
      </w:r>
      <w:r w:rsidR="001138CC" w:rsidRPr="00CE66BE">
        <w:rPr>
          <w:rFonts w:cstheme="minorHAnsi"/>
          <w:sz w:val="24"/>
          <w:szCs w:val="24"/>
          <w:lang w:val="en-GB"/>
        </w:rPr>
        <w:t>live birth</w:t>
      </w:r>
      <w:r w:rsidR="00B96577" w:rsidRPr="00CE66BE">
        <w:rPr>
          <w:rFonts w:cstheme="minorHAnsi"/>
          <w:sz w:val="24"/>
          <w:szCs w:val="24"/>
          <w:lang w:val="en-GB"/>
        </w:rPr>
        <w:t>s</w:t>
      </w:r>
      <w:r w:rsidR="001138CC" w:rsidRPr="00CE66BE">
        <w:rPr>
          <w:rFonts w:cstheme="minorHAnsi"/>
          <w:sz w:val="24"/>
          <w:szCs w:val="24"/>
          <w:lang w:val="en-GB"/>
        </w:rPr>
        <w:t xml:space="preserve"> with CA </w:t>
      </w:r>
      <w:r w:rsidRPr="00CE66BE">
        <w:rPr>
          <w:rFonts w:cstheme="minorHAnsi"/>
          <w:sz w:val="24"/>
          <w:szCs w:val="24"/>
          <w:lang w:val="en-GB"/>
        </w:rPr>
        <w:t>surviving the first month of life, the 5-year survival significantly improved and became comparable to that of other countries</w:t>
      </w:r>
      <w:r w:rsidR="00EB51A4" w:rsidRPr="00CE66BE">
        <w:rPr>
          <w:rFonts w:cstheme="minorHAnsi"/>
          <w:sz w:val="24"/>
          <w:szCs w:val="24"/>
          <w:lang w:val="en-GB"/>
        </w:rPr>
        <w:t xml:space="preserve"> (Figure </w:t>
      </w:r>
      <w:r w:rsidR="009F6775">
        <w:rPr>
          <w:rFonts w:cstheme="minorHAnsi"/>
          <w:sz w:val="24"/>
          <w:szCs w:val="24"/>
          <w:lang w:val="en-GB"/>
        </w:rPr>
        <w:t xml:space="preserve">1 </w:t>
      </w:r>
      <w:r w:rsidR="00EB51A4" w:rsidRPr="00CE66BE">
        <w:rPr>
          <w:rFonts w:cstheme="minorHAnsi"/>
          <w:sz w:val="24"/>
          <w:szCs w:val="24"/>
          <w:lang w:val="en-GB"/>
        </w:rPr>
        <w:t xml:space="preserve"> and </w:t>
      </w:r>
      <w:r w:rsidR="009F6775">
        <w:rPr>
          <w:rFonts w:cstheme="minorHAnsi"/>
          <w:sz w:val="24"/>
          <w:szCs w:val="24"/>
          <w:lang w:val="en-GB"/>
        </w:rPr>
        <w:t>S3</w:t>
      </w:r>
      <w:r w:rsidR="00EB51A4" w:rsidRPr="00CE66BE">
        <w:rPr>
          <w:rFonts w:cstheme="minorHAnsi"/>
          <w:sz w:val="24"/>
          <w:szCs w:val="24"/>
          <w:lang w:val="en-GB"/>
        </w:rPr>
        <w:t>)</w:t>
      </w:r>
      <w:r w:rsidR="00010376" w:rsidRPr="00CE66BE">
        <w:rPr>
          <w:rFonts w:cstheme="minorHAnsi"/>
          <w:sz w:val="24"/>
          <w:szCs w:val="24"/>
          <w:lang w:val="en-GB"/>
        </w:rPr>
        <w:t xml:space="preserve">, again demonstrating that the observed lower survival is likely to be due to the inclusion of live births unlikely to survive beyond the first month of life, that are likely to </w:t>
      </w:r>
      <w:r w:rsidR="00830008" w:rsidRPr="00CE66BE">
        <w:rPr>
          <w:rFonts w:cstheme="minorHAnsi"/>
          <w:sz w:val="24"/>
          <w:szCs w:val="24"/>
          <w:lang w:val="en-GB"/>
        </w:rPr>
        <w:t xml:space="preserve">be TOPFAs in other registries. </w:t>
      </w:r>
    </w:p>
    <w:p w14:paraId="1703FB9C" w14:textId="68DDEAC6" w:rsidR="000528C7" w:rsidRPr="00CE66BE" w:rsidRDefault="00341E60" w:rsidP="00754F3C">
      <w:pPr>
        <w:spacing w:after="0" w:line="480" w:lineRule="auto"/>
        <w:rPr>
          <w:rFonts w:cstheme="minorHAnsi"/>
          <w:sz w:val="24"/>
          <w:szCs w:val="24"/>
          <w:lang w:val="en-GB"/>
        </w:rPr>
      </w:pPr>
      <w:r>
        <w:rPr>
          <w:rFonts w:cstheme="minorHAnsi"/>
          <w:sz w:val="24"/>
          <w:szCs w:val="24"/>
          <w:lang w:val="en-GB"/>
        </w:rPr>
        <w:t xml:space="preserve">A previous study suggested that prenatal diagnoses rates may </w:t>
      </w:r>
      <w:r w:rsidR="00F844A8">
        <w:rPr>
          <w:rFonts w:cstheme="minorHAnsi"/>
          <w:sz w:val="24"/>
          <w:szCs w:val="24"/>
          <w:lang w:val="en-GB"/>
        </w:rPr>
        <w:t>also</w:t>
      </w:r>
      <w:r>
        <w:rPr>
          <w:rFonts w:cstheme="minorHAnsi"/>
          <w:sz w:val="24"/>
          <w:szCs w:val="24"/>
          <w:lang w:val="en-GB"/>
        </w:rPr>
        <w:t xml:space="preserve"> </w:t>
      </w:r>
      <w:r w:rsidRPr="00B62A8D">
        <w:rPr>
          <w:rFonts w:cstheme="minorHAnsi"/>
          <w:sz w:val="24"/>
          <w:szCs w:val="24"/>
          <w:lang w:val="en-GB"/>
        </w:rPr>
        <w:t>account</w:t>
      </w:r>
      <w:r>
        <w:rPr>
          <w:rFonts w:cstheme="minorHAnsi"/>
          <w:sz w:val="24"/>
          <w:szCs w:val="24"/>
          <w:lang w:val="en-GB"/>
        </w:rPr>
        <w:t xml:space="preserve"> </w:t>
      </w:r>
      <w:r w:rsidRPr="00B62A8D">
        <w:rPr>
          <w:rFonts w:cstheme="minorHAnsi"/>
          <w:sz w:val="24"/>
          <w:szCs w:val="24"/>
          <w:lang w:val="en-GB"/>
        </w:rPr>
        <w:t>for between-country variation</w:t>
      </w:r>
      <w:r>
        <w:rPr>
          <w:rFonts w:cstheme="minorHAnsi"/>
          <w:sz w:val="24"/>
          <w:szCs w:val="24"/>
          <w:lang w:val="en-GB"/>
        </w:rPr>
        <w:t>s</w:t>
      </w:r>
      <w:r w:rsidRPr="00B62A8D">
        <w:rPr>
          <w:rFonts w:cstheme="minorHAnsi"/>
          <w:sz w:val="24"/>
          <w:szCs w:val="24"/>
          <w:lang w:val="en-GB"/>
        </w:rPr>
        <w:t xml:space="preserve"> in perinatal mortality</w:t>
      </w:r>
      <w:r>
        <w:rPr>
          <w:rFonts w:cstheme="minorHAnsi"/>
          <w:sz w:val="24"/>
          <w:szCs w:val="24"/>
          <w:lang w:val="en-GB"/>
        </w:rPr>
        <w:t xml:space="preserve"> in EUROCAT registries</w:t>
      </w:r>
      <w:r w:rsidRPr="00CE66BE">
        <w:rPr>
          <w:rFonts w:cstheme="minorHAnsi"/>
          <w:sz w:val="24"/>
          <w:szCs w:val="24"/>
          <w:lang w:val="en-GB"/>
        </w:rPr>
        <w:t xml:space="preserve"> </w:t>
      </w:r>
      <w:r w:rsidR="006C1BB4">
        <w:rPr>
          <w:rFonts w:cstheme="minorHAnsi"/>
          <w:sz w:val="24"/>
          <w:szCs w:val="24"/>
          <w:vertAlign w:val="superscript"/>
          <w:lang w:val="en-GB"/>
        </w:rPr>
        <w:t>26</w:t>
      </w:r>
      <w:r w:rsidR="002D6EF1">
        <w:rPr>
          <w:rFonts w:cstheme="minorHAnsi"/>
          <w:sz w:val="24"/>
          <w:szCs w:val="24"/>
          <w:lang w:val="en-GB"/>
        </w:rPr>
        <w:t xml:space="preserve"> as prenatal diagnosis may enable earlier and more effective treatment to occur.  </w:t>
      </w:r>
    </w:p>
    <w:p w14:paraId="232B5C4F" w14:textId="5839F171" w:rsidR="00CF3B34" w:rsidRPr="00CE66BE" w:rsidRDefault="00E02C32" w:rsidP="00754F3C">
      <w:pPr>
        <w:spacing w:after="0" w:line="480" w:lineRule="auto"/>
        <w:rPr>
          <w:rFonts w:cstheme="minorHAnsi"/>
          <w:sz w:val="24"/>
          <w:szCs w:val="24"/>
          <w:lang w:val="en-GB"/>
        </w:rPr>
      </w:pPr>
      <w:r w:rsidRPr="00CE66BE">
        <w:rPr>
          <w:rFonts w:cstheme="minorHAnsi"/>
          <w:sz w:val="24"/>
          <w:szCs w:val="24"/>
          <w:lang w:val="en-GB"/>
        </w:rPr>
        <w:t xml:space="preserve"> </w:t>
      </w:r>
    </w:p>
    <w:p w14:paraId="4DEA8129" w14:textId="3D5E7ADF" w:rsidR="001E1CBB" w:rsidRPr="004749DB" w:rsidRDefault="001E1CBB" w:rsidP="00754F3C">
      <w:pPr>
        <w:spacing w:after="0" w:line="480" w:lineRule="auto"/>
        <w:rPr>
          <w:rFonts w:cstheme="minorHAnsi"/>
          <w:i/>
          <w:sz w:val="24"/>
          <w:szCs w:val="24"/>
          <w:lang w:val="en-GB"/>
        </w:rPr>
      </w:pPr>
      <w:r w:rsidRPr="004749DB">
        <w:rPr>
          <w:rFonts w:cstheme="minorHAnsi"/>
          <w:i/>
          <w:sz w:val="24"/>
          <w:szCs w:val="24"/>
          <w:lang w:val="en-GB"/>
        </w:rPr>
        <w:lastRenderedPageBreak/>
        <w:t>Methodological issues and recommendations</w:t>
      </w:r>
    </w:p>
    <w:p w14:paraId="300B6056" w14:textId="11F6B087" w:rsidR="00CC3513" w:rsidRPr="00CE66BE" w:rsidRDefault="005122DB" w:rsidP="00754F3C">
      <w:pPr>
        <w:spacing w:after="0" w:line="480" w:lineRule="auto"/>
        <w:rPr>
          <w:rFonts w:cstheme="minorHAnsi"/>
          <w:color w:val="231F20"/>
          <w:sz w:val="24"/>
          <w:szCs w:val="24"/>
          <w:lang w:val="en-GB"/>
        </w:rPr>
      </w:pPr>
      <w:r w:rsidRPr="00CE66BE">
        <w:rPr>
          <w:rFonts w:cstheme="minorHAnsi"/>
          <w:sz w:val="24"/>
          <w:szCs w:val="24"/>
          <w:lang w:val="en-GB"/>
        </w:rPr>
        <w:t>This study has demonstrated that t</w:t>
      </w:r>
      <w:r w:rsidR="00FD2CE7" w:rsidRPr="00CE66BE">
        <w:rPr>
          <w:rFonts w:cstheme="minorHAnsi"/>
          <w:sz w:val="24"/>
          <w:szCs w:val="24"/>
          <w:lang w:val="en-GB"/>
        </w:rPr>
        <w:t>he</w:t>
      </w:r>
      <w:r w:rsidR="00FD2CE7" w:rsidRPr="00CE66BE">
        <w:rPr>
          <w:rFonts w:cstheme="minorHAnsi"/>
          <w:color w:val="000000"/>
          <w:sz w:val="24"/>
          <w:szCs w:val="24"/>
          <w:lang w:val="en-GB"/>
        </w:rPr>
        <w:t xml:space="preserve"> linkage of CA data from population-based registries to mortality records from national/vital statistics </w:t>
      </w:r>
      <w:r w:rsidRPr="00CE66BE">
        <w:rPr>
          <w:rFonts w:cstheme="minorHAnsi"/>
          <w:color w:val="000000"/>
          <w:sz w:val="24"/>
          <w:szCs w:val="24"/>
          <w:lang w:val="en-GB"/>
        </w:rPr>
        <w:t>is a</w:t>
      </w:r>
      <w:r w:rsidR="00031683" w:rsidRPr="00CE66BE">
        <w:rPr>
          <w:rFonts w:cstheme="minorHAnsi"/>
          <w:color w:val="000000"/>
          <w:sz w:val="24"/>
          <w:szCs w:val="24"/>
          <w:lang w:val="en-GB"/>
        </w:rPr>
        <w:t xml:space="preserve">n efficient and powerful </w:t>
      </w:r>
      <w:r w:rsidRPr="00CE66BE">
        <w:rPr>
          <w:rFonts w:cstheme="minorHAnsi"/>
          <w:color w:val="000000"/>
          <w:sz w:val="24"/>
          <w:szCs w:val="24"/>
          <w:lang w:val="en-GB"/>
        </w:rPr>
        <w:t>method of analysing</w:t>
      </w:r>
      <w:r w:rsidR="00FD2CE7" w:rsidRPr="00CE66BE">
        <w:rPr>
          <w:rFonts w:cstheme="minorHAnsi"/>
          <w:color w:val="000000"/>
          <w:sz w:val="24"/>
          <w:szCs w:val="24"/>
          <w:lang w:val="en-GB"/>
        </w:rPr>
        <w:t xml:space="preserve"> the survival of children born with CAs</w:t>
      </w:r>
      <w:r w:rsidR="00D35D6B" w:rsidRPr="00CE66BE">
        <w:rPr>
          <w:rFonts w:cstheme="minorHAnsi"/>
          <w:color w:val="000000"/>
          <w:sz w:val="24"/>
          <w:szCs w:val="24"/>
          <w:lang w:val="en-GB"/>
        </w:rPr>
        <w:t xml:space="preserve">. </w:t>
      </w:r>
      <w:r w:rsidR="00CC3513" w:rsidRPr="00CE66BE">
        <w:rPr>
          <w:rFonts w:cstheme="minorHAnsi"/>
          <w:color w:val="000000"/>
          <w:sz w:val="24"/>
          <w:szCs w:val="24"/>
          <w:lang w:val="en-GB"/>
        </w:rPr>
        <w:t xml:space="preserve">A prospective cohort study </w:t>
      </w:r>
      <w:r w:rsidR="00442780" w:rsidRPr="00CE66BE">
        <w:rPr>
          <w:rFonts w:cstheme="minorHAnsi"/>
          <w:color w:val="000000"/>
          <w:sz w:val="24"/>
          <w:szCs w:val="24"/>
          <w:lang w:val="en-GB"/>
        </w:rPr>
        <w:t>design</w:t>
      </w:r>
      <w:r w:rsidR="00347EDE" w:rsidRPr="00CE66BE">
        <w:rPr>
          <w:rFonts w:cstheme="minorHAnsi"/>
          <w:color w:val="000000"/>
          <w:sz w:val="24"/>
          <w:szCs w:val="24"/>
          <w:lang w:val="en-GB"/>
        </w:rPr>
        <w:t xml:space="preserve"> using a process of </w:t>
      </w:r>
      <w:r w:rsidR="00347EDE" w:rsidRPr="00CE66BE">
        <w:rPr>
          <w:rFonts w:cstheme="minorHAnsi"/>
          <w:i/>
          <w:color w:val="000000"/>
          <w:sz w:val="24"/>
          <w:szCs w:val="24"/>
          <w:lang w:val="en-GB"/>
        </w:rPr>
        <w:t>ad-hoc</w:t>
      </w:r>
      <w:r w:rsidR="00347EDE" w:rsidRPr="00CE66BE">
        <w:rPr>
          <w:rFonts w:cstheme="minorHAnsi"/>
          <w:color w:val="000000"/>
          <w:sz w:val="24"/>
          <w:szCs w:val="24"/>
          <w:lang w:val="en-GB"/>
        </w:rPr>
        <w:t xml:space="preserve"> data collection</w:t>
      </w:r>
      <w:r w:rsidR="00442780" w:rsidRPr="00CE66BE">
        <w:rPr>
          <w:rFonts w:cstheme="minorHAnsi"/>
          <w:color w:val="000000"/>
          <w:sz w:val="24"/>
          <w:szCs w:val="24"/>
          <w:lang w:val="en-GB"/>
        </w:rPr>
        <w:t xml:space="preserve"> </w:t>
      </w:r>
      <w:r w:rsidR="009D178E" w:rsidRPr="00CE66BE">
        <w:rPr>
          <w:rFonts w:cstheme="minorHAnsi"/>
          <w:color w:val="231F20"/>
          <w:sz w:val="24"/>
          <w:szCs w:val="24"/>
          <w:lang w:val="en-GB"/>
        </w:rPr>
        <w:t xml:space="preserve">is resource </w:t>
      </w:r>
      <w:r w:rsidR="00AF25B4" w:rsidRPr="00CE66BE">
        <w:rPr>
          <w:rFonts w:cstheme="minorHAnsi"/>
          <w:color w:val="231F20"/>
          <w:sz w:val="24"/>
          <w:szCs w:val="24"/>
          <w:lang w:val="en-GB"/>
        </w:rPr>
        <w:t>intensive and time-</w:t>
      </w:r>
      <w:r w:rsidR="009D178E" w:rsidRPr="00CE66BE">
        <w:rPr>
          <w:rFonts w:cstheme="minorHAnsi"/>
          <w:color w:val="231F20"/>
          <w:sz w:val="24"/>
          <w:szCs w:val="24"/>
          <w:lang w:val="en-GB"/>
        </w:rPr>
        <w:t xml:space="preserve">consuming and it would be very difficult to achieve for </w:t>
      </w:r>
      <w:r w:rsidR="00442780" w:rsidRPr="00CE66BE">
        <w:rPr>
          <w:rFonts w:cstheme="minorHAnsi"/>
          <w:color w:val="231F20"/>
          <w:sz w:val="24"/>
          <w:szCs w:val="24"/>
          <w:lang w:val="en-GB"/>
        </w:rPr>
        <w:t xml:space="preserve">studies on </w:t>
      </w:r>
      <w:r w:rsidR="009D178E" w:rsidRPr="00CE66BE">
        <w:rPr>
          <w:rFonts w:cstheme="minorHAnsi"/>
          <w:color w:val="231F20"/>
          <w:sz w:val="24"/>
          <w:szCs w:val="24"/>
          <w:lang w:val="en-GB"/>
        </w:rPr>
        <w:t>large cohort</w:t>
      </w:r>
      <w:r w:rsidR="008F30C3" w:rsidRPr="00CE66BE">
        <w:rPr>
          <w:rFonts w:cstheme="minorHAnsi"/>
          <w:color w:val="231F20"/>
          <w:sz w:val="24"/>
          <w:szCs w:val="24"/>
          <w:lang w:val="en-GB"/>
        </w:rPr>
        <w:t>s</w:t>
      </w:r>
      <w:r w:rsidR="009D178E" w:rsidRPr="00CE66BE">
        <w:rPr>
          <w:rFonts w:cstheme="minorHAnsi"/>
          <w:color w:val="231F20"/>
          <w:sz w:val="24"/>
          <w:szCs w:val="24"/>
          <w:lang w:val="en-GB"/>
        </w:rPr>
        <w:t xml:space="preserve"> of children with CAs.</w:t>
      </w:r>
      <w:r w:rsidR="00442780" w:rsidRPr="00CE66BE">
        <w:rPr>
          <w:rFonts w:cstheme="minorHAnsi"/>
          <w:color w:val="231F20"/>
          <w:sz w:val="24"/>
          <w:szCs w:val="24"/>
          <w:lang w:val="en-GB"/>
        </w:rPr>
        <w:t xml:space="preserve"> </w:t>
      </w:r>
      <w:r w:rsidRPr="00CE66BE">
        <w:rPr>
          <w:rFonts w:cstheme="minorHAnsi"/>
          <w:color w:val="231F20"/>
          <w:sz w:val="24"/>
          <w:szCs w:val="24"/>
          <w:lang w:val="en-GB"/>
        </w:rPr>
        <w:t xml:space="preserve"> </w:t>
      </w:r>
    </w:p>
    <w:p w14:paraId="64289DF0" w14:textId="1021EB26" w:rsidR="005122DB" w:rsidRPr="00CE66BE" w:rsidRDefault="005122DB" w:rsidP="001C3C14">
      <w:pPr>
        <w:spacing w:after="0" w:line="480" w:lineRule="auto"/>
        <w:rPr>
          <w:rFonts w:cstheme="minorHAnsi"/>
          <w:sz w:val="24"/>
          <w:szCs w:val="24"/>
          <w:lang w:val="en-GB"/>
        </w:rPr>
      </w:pPr>
      <w:r w:rsidRPr="00CE66BE">
        <w:rPr>
          <w:rFonts w:cstheme="minorHAnsi"/>
          <w:color w:val="000000"/>
          <w:sz w:val="24"/>
          <w:szCs w:val="24"/>
          <w:lang w:val="en-GB"/>
        </w:rPr>
        <w:t xml:space="preserve">Many factors influence the observed survival of children with </w:t>
      </w:r>
      <w:r w:rsidR="00CB0643" w:rsidRPr="00CE66BE">
        <w:rPr>
          <w:rFonts w:cstheme="minorHAnsi"/>
          <w:color w:val="000000"/>
          <w:sz w:val="24"/>
          <w:szCs w:val="24"/>
          <w:lang w:val="en-GB"/>
        </w:rPr>
        <w:t>CAs</w:t>
      </w:r>
      <w:r w:rsidRPr="00CE66BE">
        <w:rPr>
          <w:rFonts w:cstheme="minorHAnsi"/>
          <w:color w:val="000000"/>
          <w:sz w:val="24"/>
          <w:szCs w:val="24"/>
          <w:lang w:val="en-GB"/>
        </w:rPr>
        <w:t>, including differences across registries in the exclusion/inclusion of less severe anomalies</w:t>
      </w:r>
      <w:r w:rsidR="00F44B09" w:rsidRPr="00CE66BE">
        <w:rPr>
          <w:rFonts w:cstheme="minorHAnsi"/>
          <w:color w:val="000000"/>
          <w:sz w:val="24"/>
          <w:szCs w:val="24"/>
          <w:lang w:val="en-GB"/>
        </w:rPr>
        <w:t xml:space="preserve">, the prevalence of prenatal screening and subsequent </w:t>
      </w:r>
      <w:r w:rsidRPr="00CE66BE">
        <w:rPr>
          <w:rFonts w:cstheme="minorHAnsi"/>
          <w:color w:val="000000"/>
          <w:sz w:val="24"/>
          <w:szCs w:val="24"/>
          <w:lang w:val="en-GB"/>
        </w:rPr>
        <w:t xml:space="preserve">TOPFA, </w:t>
      </w:r>
      <w:r w:rsidR="00F44B09" w:rsidRPr="00CE66BE">
        <w:rPr>
          <w:rFonts w:cstheme="minorHAnsi"/>
          <w:color w:val="000000"/>
          <w:sz w:val="24"/>
          <w:szCs w:val="24"/>
          <w:lang w:val="en-GB"/>
        </w:rPr>
        <w:t xml:space="preserve">the </w:t>
      </w:r>
      <w:r w:rsidRPr="00CE66BE">
        <w:rPr>
          <w:rFonts w:cstheme="minorHAnsi"/>
          <w:color w:val="000000"/>
          <w:sz w:val="24"/>
          <w:szCs w:val="24"/>
          <w:lang w:val="en-GB"/>
        </w:rPr>
        <w:t xml:space="preserve">source of mortality </w:t>
      </w:r>
      <w:proofErr w:type="spellStart"/>
      <w:r w:rsidRPr="00CE66BE">
        <w:rPr>
          <w:rFonts w:cstheme="minorHAnsi"/>
          <w:color w:val="000000"/>
          <w:sz w:val="24"/>
          <w:szCs w:val="24"/>
          <w:lang w:val="en-GB"/>
        </w:rPr>
        <w:t>data</w:t>
      </w:r>
      <w:proofErr w:type="gramStart"/>
      <w:r w:rsidR="00A5064C">
        <w:rPr>
          <w:rFonts w:cstheme="minorHAnsi"/>
          <w:color w:val="000000"/>
          <w:sz w:val="24"/>
          <w:szCs w:val="24"/>
          <w:lang w:val="en-GB"/>
        </w:rPr>
        <w:t>,</w:t>
      </w:r>
      <w:r w:rsidRPr="00CE66BE">
        <w:rPr>
          <w:rFonts w:cstheme="minorHAnsi"/>
          <w:color w:val="000000"/>
          <w:sz w:val="24"/>
          <w:szCs w:val="24"/>
          <w:lang w:val="en-GB"/>
        </w:rPr>
        <w:t>linkage</w:t>
      </w:r>
      <w:proofErr w:type="spellEnd"/>
      <w:proofErr w:type="gramEnd"/>
      <w:r w:rsidRPr="00CE66BE">
        <w:rPr>
          <w:rFonts w:cstheme="minorHAnsi"/>
          <w:color w:val="000000"/>
          <w:sz w:val="24"/>
          <w:szCs w:val="24"/>
          <w:lang w:val="en-GB"/>
        </w:rPr>
        <w:t xml:space="preserve"> </w:t>
      </w:r>
      <w:r w:rsidR="00F44B09" w:rsidRPr="00CE66BE">
        <w:rPr>
          <w:rFonts w:cstheme="minorHAnsi"/>
          <w:color w:val="000000"/>
          <w:sz w:val="24"/>
          <w:szCs w:val="24"/>
          <w:lang w:val="en-GB"/>
        </w:rPr>
        <w:t>success</w:t>
      </w:r>
      <w:r w:rsidR="00A5064C">
        <w:rPr>
          <w:rFonts w:cstheme="minorHAnsi"/>
          <w:color w:val="000000"/>
          <w:sz w:val="24"/>
          <w:szCs w:val="24"/>
          <w:lang w:val="en-GB"/>
        </w:rPr>
        <w:t xml:space="preserve"> and amount of </w:t>
      </w:r>
      <w:r w:rsidR="00E632CA">
        <w:rPr>
          <w:rFonts w:cstheme="minorHAnsi"/>
          <w:color w:val="000000"/>
          <w:sz w:val="24"/>
          <w:szCs w:val="24"/>
          <w:lang w:val="en-GB"/>
        </w:rPr>
        <w:t>loss to follow up</w:t>
      </w:r>
      <w:r w:rsidR="00A5064C">
        <w:rPr>
          <w:rFonts w:cstheme="minorHAnsi"/>
          <w:color w:val="000000"/>
          <w:sz w:val="24"/>
          <w:szCs w:val="24"/>
          <w:lang w:val="en-GB"/>
        </w:rPr>
        <w:t xml:space="preserve"> may influence the results.</w:t>
      </w:r>
      <w:r w:rsidR="00E632CA">
        <w:rPr>
          <w:rFonts w:cstheme="minorHAnsi"/>
          <w:color w:val="000000"/>
          <w:sz w:val="24"/>
          <w:szCs w:val="24"/>
          <w:lang w:val="en-GB"/>
        </w:rPr>
        <w:t xml:space="preserve"> </w:t>
      </w:r>
      <w:r w:rsidR="00F44B09" w:rsidRPr="00CE66BE">
        <w:rPr>
          <w:rFonts w:cstheme="minorHAnsi"/>
          <w:color w:val="000000"/>
          <w:sz w:val="24"/>
          <w:szCs w:val="24"/>
          <w:lang w:val="en-GB"/>
        </w:rPr>
        <w:t xml:space="preserve">All these factors should be considered </w:t>
      </w:r>
      <w:r w:rsidR="00E17063" w:rsidRPr="00CE66BE">
        <w:rPr>
          <w:rFonts w:cstheme="minorHAnsi"/>
          <w:color w:val="000000"/>
          <w:sz w:val="24"/>
          <w:szCs w:val="24"/>
          <w:lang w:val="en-GB"/>
        </w:rPr>
        <w:t>when</w:t>
      </w:r>
      <w:r w:rsidR="00F44B09" w:rsidRPr="00CE66BE">
        <w:rPr>
          <w:rFonts w:cstheme="minorHAnsi"/>
          <w:color w:val="000000"/>
          <w:sz w:val="24"/>
          <w:szCs w:val="24"/>
          <w:lang w:val="en-GB"/>
        </w:rPr>
        <w:t xml:space="preserve"> interpreting observed geographic and temporal differences. </w:t>
      </w:r>
      <w:r w:rsidR="00010376" w:rsidRPr="00CE66BE">
        <w:rPr>
          <w:rFonts w:cstheme="minorHAnsi"/>
          <w:color w:val="000000"/>
          <w:sz w:val="24"/>
          <w:szCs w:val="24"/>
          <w:lang w:val="en-GB"/>
        </w:rPr>
        <w:t xml:space="preserve">Survival conditional on the first month of life can also provide </w:t>
      </w:r>
      <w:r w:rsidR="00010376" w:rsidRPr="00CE66BE">
        <w:rPr>
          <w:rFonts w:cstheme="minorHAnsi"/>
          <w:sz w:val="24"/>
          <w:szCs w:val="24"/>
          <w:lang w:val="en-GB"/>
        </w:rPr>
        <w:t>important additional information</w:t>
      </w:r>
      <w:r w:rsidR="00FF4F49" w:rsidRPr="00CE66BE">
        <w:rPr>
          <w:rFonts w:cstheme="minorHAnsi"/>
          <w:sz w:val="24"/>
          <w:szCs w:val="24"/>
          <w:lang w:val="en-GB"/>
        </w:rPr>
        <w:t>. I</w:t>
      </w:r>
      <w:r w:rsidR="00636977" w:rsidRPr="00CE66BE">
        <w:rPr>
          <w:rFonts w:cstheme="minorHAnsi"/>
          <w:sz w:val="24"/>
          <w:szCs w:val="24"/>
          <w:lang w:val="en-GB"/>
        </w:rPr>
        <w:t>t enables better understand</w:t>
      </w:r>
      <w:r w:rsidR="00390629" w:rsidRPr="00CE66BE">
        <w:rPr>
          <w:rFonts w:cstheme="minorHAnsi"/>
          <w:sz w:val="24"/>
          <w:szCs w:val="24"/>
          <w:lang w:val="en-GB"/>
        </w:rPr>
        <w:t>ing of</w:t>
      </w:r>
      <w:r w:rsidR="00636977" w:rsidRPr="00CE66BE">
        <w:rPr>
          <w:rFonts w:cstheme="minorHAnsi"/>
          <w:sz w:val="24"/>
          <w:szCs w:val="24"/>
          <w:lang w:val="en-GB"/>
        </w:rPr>
        <w:t xml:space="preserve"> the </w:t>
      </w:r>
      <w:r w:rsidR="00FF4F49" w:rsidRPr="00CE66BE">
        <w:rPr>
          <w:rFonts w:cstheme="minorHAnsi"/>
          <w:sz w:val="24"/>
          <w:szCs w:val="24"/>
          <w:lang w:val="en-GB"/>
        </w:rPr>
        <w:t>effect</w:t>
      </w:r>
      <w:r w:rsidR="00636977" w:rsidRPr="00CE66BE">
        <w:rPr>
          <w:rFonts w:cstheme="minorHAnsi"/>
          <w:sz w:val="24"/>
          <w:szCs w:val="24"/>
          <w:lang w:val="en-GB"/>
        </w:rPr>
        <w:t xml:space="preserve"> of differences in TOPFA rates </w:t>
      </w:r>
      <w:r w:rsidR="00845CE7" w:rsidRPr="00CE66BE">
        <w:rPr>
          <w:rFonts w:cstheme="minorHAnsi"/>
          <w:sz w:val="24"/>
          <w:szCs w:val="24"/>
          <w:lang w:val="en-GB"/>
        </w:rPr>
        <w:t>for the most severe cases with high fatality in the first weeks of life</w:t>
      </w:r>
      <w:r w:rsidR="001662EE" w:rsidRPr="00CE66BE">
        <w:rPr>
          <w:rFonts w:cstheme="minorHAnsi"/>
          <w:sz w:val="24"/>
          <w:szCs w:val="24"/>
          <w:lang w:val="en-GB"/>
        </w:rPr>
        <w:t>.</w:t>
      </w:r>
      <w:r w:rsidR="00010376" w:rsidRPr="00CE66BE">
        <w:rPr>
          <w:rFonts w:cstheme="minorHAnsi"/>
          <w:sz w:val="24"/>
          <w:szCs w:val="24"/>
          <w:lang w:val="en-GB"/>
        </w:rPr>
        <w:t xml:space="preserve"> </w:t>
      </w:r>
    </w:p>
    <w:p w14:paraId="5ACEE47F" w14:textId="431D0374" w:rsidR="00A04D13" w:rsidRDefault="00A04D13" w:rsidP="00A04D13">
      <w:pPr>
        <w:spacing w:after="0" w:line="480" w:lineRule="auto"/>
        <w:rPr>
          <w:rFonts w:cstheme="minorHAnsi"/>
          <w:color w:val="000000"/>
          <w:sz w:val="24"/>
          <w:szCs w:val="24"/>
          <w:lang w:val="en-GB"/>
        </w:rPr>
      </w:pPr>
      <w:r w:rsidRPr="00CE66BE">
        <w:rPr>
          <w:rFonts w:cstheme="minorHAnsi"/>
          <w:color w:val="000000"/>
          <w:sz w:val="24"/>
          <w:szCs w:val="24"/>
          <w:lang w:val="en-GB"/>
        </w:rPr>
        <w:t>Survival of CAs is more meaningful when analysed for specific CAs rather than for all anomalies. However, if survival in children with a specific CA is analysed, the numbers of children from each registry are so small that sampling error limits the interpretation of any differences between registries</w:t>
      </w:r>
      <w:r>
        <w:rPr>
          <w:rFonts w:cstheme="minorHAnsi"/>
          <w:color w:val="000000"/>
          <w:sz w:val="24"/>
          <w:szCs w:val="24"/>
          <w:lang w:val="en-GB"/>
        </w:rPr>
        <w:t>)</w:t>
      </w:r>
      <w:r w:rsidRPr="00CE66BE">
        <w:rPr>
          <w:rFonts w:cstheme="minorHAnsi"/>
          <w:color w:val="000000"/>
          <w:sz w:val="24"/>
          <w:szCs w:val="24"/>
          <w:lang w:val="en-GB"/>
        </w:rPr>
        <w:t xml:space="preserve">. </w:t>
      </w:r>
      <w:r>
        <w:rPr>
          <w:rFonts w:cstheme="minorHAnsi"/>
          <w:color w:val="000000"/>
          <w:sz w:val="24"/>
          <w:szCs w:val="24"/>
          <w:lang w:val="en-GB"/>
        </w:rPr>
        <w:t xml:space="preserve"> </w:t>
      </w:r>
      <w:r w:rsidR="00963444">
        <w:rPr>
          <w:rFonts w:cstheme="minorHAnsi"/>
          <w:color w:val="000000"/>
          <w:sz w:val="24"/>
          <w:szCs w:val="24"/>
          <w:lang w:val="en-GB"/>
        </w:rPr>
        <w:t>More preci</w:t>
      </w:r>
      <w:r w:rsidR="00192454">
        <w:rPr>
          <w:rFonts w:cstheme="minorHAnsi"/>
          <w:color w:val="000000"/>
          <w:sz w:val="24"/>
          <w:szCs w:val="24"/>
          <w:lang w:val="en-GB"/>
        </w:rPr>
        <w:t>se</w:t>
      </w:r>
      <w:r>
        <w:rPr>
          <w:rFonts w:cstheme="minorHAnsi"/>
          <w:color w:val="000000"/>
          <w:sz w:val="24"/>
          <w:szCs w:val="24"/>
          <w:lang w:val="en-GB"/>
        </w:rPr>
        <w:t xml:space="preserve"> survival estimates </w:t>
      </w:r>
      <w:r w:rsidR="00963444">
        <w:rPr>
          <w:rFonts w:cstheme="minorHAnsi"/>
          <w:color w:val="000000"/>
          <w:sz w:val="24"/>
          <w:szCs w:val="24"/>
          <w:lang w:val="en-GB"/>
        </w:rPr>
        <w:t>of</w:t>
      </w:r>
      <w:r>
        <w:rPr>
          <w:rFonts w:cstheme="minorHAnsi"/>
          <w:color w:val="000000"/>
          <w:sz w:val="24"/>
          <w:szCs w:val="24"/>
          <w:lang w:val="en-GB"/>
        </w:rPr>
        <w:t xml:space="preserve"> individual CAs, even if rare, can be calculated pooling data from differen</w:t>
      </w:r>
      <w:r w:rsidR="001C3C14">
        <w:rPr>
          <w:rFonts w:cstheme="minorHAnsi"/>
          <w:color w:val="000000"/>
          <w:sz w:val="24"/>
          <w:szCs w:val="24"/>
          <w:lang w:val="en-GB"/>
        </w:rPr>
        <w:t>t registries using a meta-analyt</w:t>
      </w:r>
      <w:r>
        <w:rPr>
          <w:rFonts w:cstheme="minorHAnsi"/>
          <w:color w:val="000000"/>
          <w:sz w:val="24"/>
          <w:szCs w:val="24"/>
          <w:lang w:val="en-GB"/>
        </w:rPr>
        <w:t>ical approach as performed in stu</w:t>
      </w:r>
      <w:r w:rsidR="006C1BB4">
        <w:rPr>
          <w:rFonts w:cstheme="minorHAnsi"/>
          <w:color w:val="000000"/>
          <w:sz w:val="24"/>
          <w:szCs w:val="24"/>
          <w:lang w:val="en-GB"/>
        </w:rPr>
        <w:t xml:space="preserve">dies of the </w:t>
      </w:r>
      <w:proofErr w:type="spellStart"/>
      <w:r w:rsidR="006C1BB4">
        <w:rPr>
          <w:rFonts w:cstheme="minorHAnsi"/>
          <w:color w:val="000000"/>
          <w:sz w:val="24"/>
          <w:szCs w:val="24"/>
          <w:lang w:val="en-GB"/>
        </w:rPr>
        <w:t>EUROlinkCAT</w:t>
      </w:r>
      <w:proofErr w:type="spellEnd"/>
      <w:r w:rsidR="006C1BB4">
        <w:rPr>
          <w:rFonts w:cstheme="minorHAnsi"/>
          <w:color w:val="000000"/>
          <w:sz w:val="24"/>
          <w:szCs w:val="24"/>
          <w:lang w:val="en-GB"/>
        </w:rPr>
        <w:t xml:space="preserve"> project</w:t>
      </w:r>
      <w:r>
        <w:rPr>
          <w:rFonts w:cstheme="minorHAnsi"/>
          <w:color w:val="000000"/>
          <w:sz w:val="24"/>
          <w:szCs w:val="24"/>
          <w:lang w:val="en-GB"/>
        </w:rPr>
        <w:t>.</w:t>
      </w:r>
      <w:r w:rsidR="006C1BB4">
        <w:rPr>
          <w:rFonts w:cstheme="minorHAnsi"/>
          <w:color w:val="000000"/>
          <w:sz w:val="24"/>
          <w:szCs w:val="24"/>
          <w:vertAlign w:val="superscript"/>
          <w:lang w:val="en-GB"/>
        </w:rPr>
        <w:t xml:space="preserve">33,34 </w:t>
      </w:r>
      <w:r w:rsidRPr="00CE66BE">
        <w:rPr>
          <w:rFonts w:cstheme="minorHAnsi"/>
          <w:color w:val="000000"/>
          <w:sz w:val="24"/>
          <w:szCs w:val="24"/>
          <w:lang w:val="en-GB"/>
        </w:rPr>
        <w:t xml:space="preserve">Therefore, the purpose of this study was to examine potential sources of bias in sufficiently large samples, in order to establish recommendations for future meta-analyses across registries. </w:t>
      </w:r>
    </w:p>
    <w:p w14:paraId="7A8033B9" w14:textId="6301A01B" w:rsidR="00AF19E7" w:rsidRDefault="007757F0" w:rsidP="00754F3C">
      <w:pPr>
        <w:spacing w:after="0" w:line="480" w:lineRule="auto"/>
        <w:rPr>
          <w:rFonts w:cstheme="minorHAnsi"/>
          <w:color w:val="000000"/>
          <w:sz w:val="24"/>
          <w:szCs w:val="24"/>
          <w:lang w:val="en-GB"/>
        </w:rPr>
      </w:pPr>
      <w:r w:rsidRPr="00CE66BE">
        <w:rPr>
          <w:rFonts w:cstheme="minorHAnsi"/>
          <w:sz w:val="24"/>
          <w:szCs w:val="24"/>
          <w:lang w:val="en-GB"/>
        </w:rPr>
        <w:t>It is hoped that the assessment of survival of CAs across different geographic areas, after a careful evaluation of the impact of the</w:t>
      </w:r>
      <w:r w:rsidR="006564F1" w:rsidRPr="00CE66BE">
        <w:rPr>
          <w:rFonts w:cstheme="minorHAnsi"/>
          <w:sz w:val="24"/>
          <w:szCs w:val="24"/>
          <w:lang w:val="en-GB"/>
        </w:rPr>
        <w:t xml:space="preserve"> </w:t>
      </w:r>
      <w:r w:rsidRPr="00CE66BE">
        <w:rPr>
          <w:rFonts w:cstheme="minorHAnsi"/>
          <w:sz w:val="24"/>
          <w:szCs w:val="24"/>
          <w:lang w:val="en-GB"/>
        </w:rPr>
        <w:t xml:space="preserve">methodological factors described above, may provide </w:t>
      </w:r>
      <w:r w:rsidRPr="00CE66BE">
        <w:rPr>
          <w:rFonts w:cstheme="minorHAnsi"/>
          <w:sz w:val="24"/>
          <w:szCs w:val="24"/>
          <w:lang w:val="en-GB"/>
        </w:rPr>
        <w:lastRenderedPageBreak/>
        <w:t xml:space="preserve">useful information for </w:t>
      </w:r>
      <w:r w:rsidRPr="00CE66BE">
        <w:rPr>
          <w:rFonts w:cstheme="minorHAnsi"/>
          <w:color w:val="000000"/>
          <w:sz w:val="24"/>
          <w:szCs w:val="24"/>
          <w:lang w:val="en-GB"/>
        </w:rPr>
        <w:t xml:space="preserve">making inferences about the quality of care provided to children born with CAs. </w:t>
      </w:r>
    </w:p>
    <w:p w14:paraId="60DD6C64" w14:textId="1E053822" w:rsidR="007757F0" w:rsidRPr="00CE66BE" w:rsidRDefault="007757F0" w:rsidP="00754F3C">
      <w:pPr>
        <w:spacing w:after="0" w:line="480" w:lineRule="auto"/>
        <w:rPr>
          <w:rFonts w:cstheme="minorHAnsi"/>
          <w:color w:val="000000"/>
          <w:sz w:val="24"/>
          <w:szCs w:val="24"/>
          <w:lang w:val="en-GB"/>
        </w:rPr>
      </w:pPr>
      <w:r w:rsidRPr="00CE66BE">
        <w:rPr>
          <w:rFonts w:cstheme="minorHAnsi"/>
          <w:color w:val="000000"/>
          <w:sz w:val="24"/>
          <w:szCs w:val="24"/>
          <w:lang w:val="en-GB"/>
        </w:rPr>
        <w:t xml:space="preserve">However, additional factors not measured in detail in this study, such as </w:t>
      </w:r>
      <w:r w:rsidRPr="00CE66BE">
        <w:rPr>
          <w:rFonts w:cstheme="minorHAnsi"/>
          <w:sz w:val="24"/>
          <w:szCs w:val="24"/>
          <w:lang w:val="en-GB"/>
        </w:rPr>
        <w:t>socio-economic i</w:t>
      </w:r>
      <w:r w:rsidR="004062D0">
        <w:rPr>
          <w:rFonts w:cstheme="minorHAnsi"/>
          <w:sz w:val="24"/>
          <w:szCs w:val="24"/>
          <w:lang w:val="en-GB"/>
        </w:rPr>
        <w:t>nequalities in child mortality</w:t>
      </w:r>
      <w:r w:rsidRPr="004062D0">
        <w:rPr>
          <w:rFonts w:cstheme="minorHAnsi"/>
          <w:sz w:val="24"/>
          <w:szCs w:val="24"/>
          <w:vertAlign w:val="superscript"/>
          <w:lang w:val="en-GB"/>
        </w:rPr>
        <w:t>13</w:t>
      </w:r>
      <w:proofErr w:type="gramStart"/>
      <w:r w:rsidRPr="004062D0">
        <w:rPr>
          <w:rFonts w:cstheme="minorHAnsi"/>
          <w:sz w:val="24"/>
          <w:szCs w:val="24"/>
          <w:vertAlign w:val="superscript"/>
          <w:lang w:val="en-GB"/>
        </w:rPr>
        <w:t>,</w:t>
      </w:r>
      <w:r w:rsidR="006C1BB4">
        <w:rPr>
          <w:rFonts w:cstheme="minorHAnsi"/>
          <w:sz w:val="24"/>
          <w:szCs w:val="24"/>
          <w:vertAlign w:val="superscript"/>
          <w:lang w:val="en-GB"/>
        </w:rPr>
        <w:t>35,36</w:t>
      </w:r>
      <w:proofErr w:type="gramEnd"/>
      <w:r w:rsidRPr="00CE66BE">
        <w:rPr>
          <w:rFonts w:cstheme="minorHAnsi"/>
          <w:sz w:val="24"/>
          <w:szCs w:val="24"/>
          <w:lang w:val="en-GB"/>
        </w:rPr>
        <w:t>, may also need to be considered.</w:t>
      </w:r>
      <w:r w:rsidRPr="00CE66BE">
        <w:rPr>
          <w:rFonts w:cstheme="minorHAnsi"/>
          <w:color w:val="000000"/>
          <w:sz w:val="24"/>
          <w:szCs w:val="24"/>
          <w:lang w:val="en-GB"/>
        </w:rPr>
        <w:t xml:space="preserve"> </w:t>
      </w:r>
    </w:p>
    <w:p w14:paraId="700174B8" w14:textId="472C2A80" w:rsidR="00245D21" w:rsidRPr="00CE66BE" w:rsidRDefault="00245D21" w:rsidP="00754F3C">
      <w:pPr>
        <w:autoSpaceDE w:val="0"/>
        <w:autoSpaceDN w:val="0"/>
        <w:adjustRightInd w:val="0"/>
        <w:spacing w:after="0" w:line="480" w:lineRule="auto"/>
        <w:rPr>
          <w:rFonts w:cstheme="minorHAnsi"/>
          <w:sz w:val="24"/>
          <w:szCs w:val="24"/>
          <w:lang w:val="en-GB"/>
        </w:rPr>
      </w:pPr>
      <w:bookmarkStart w:id="1" w:name="_Hlk75761810"/>
      <w:bookmarkStart w:id="2" w:name="_Hlk75761913"/>
    </w:p>
    <w:bookmarkEnd w:id="1"/>
    <w:bookmarkEnd w:id="2"/>
    <w:p w14:paraId="153FEA9A" w14:textId="428FDC77" w:rsidR="00390629" w:rsidRPr="00CE66BE" w:rsidRDefault="00390629" w:rsidP="00754F3C">
      <w:pPr>
        <w:spacing w:after="0" w:line="480" w:lineRule="auto"/>
        <w:rPr>
          <w:rFonts w:cstheme="minorHAnsi"/>
          <w:sz w:val="24"/>
          <w:szCs w:val="24"/>
          <w:lang w:val="en-GB"/>
        </w:rPr>
      </w:pPr>
    </w:p>
    <w:p w14:paraId="0756D4B0" w14:textId="721A3B95" w:rsidR="008F61B3" w:rsidRPr="00CE66BE" w:rsidRDefault="002A3C43" w:rsidP="00754F3C">
      <w:pPr>
        <w:spacing w:after="0" w:line="480" w:lineRule="auto"/>
        <w:rPr>
          <w:rFonts w:cstheme="minorHAnsi"/>
          <w:b/>
          <w:sz w:val="24"/>
          <w:szCs w:val="24"/>
          <w:lang w:val="en-GB"/>
        </w:rPr>
      </w:pPr>
      <w:r w:rsidRPr="00CE66BE">
        <w:rPr>
          <w:rFonts w:cstheme="minorHAnsi"/>
          <w:b/>
          <w:sz w:val="24"/>
          <w:szCs w:val="24"/>
          <w:lang w:val="en-GB"/>
        </w:rPr>
        <w:t>CONCLUSIONS</w:t>
      </w:r>
    </w:p>
    <w:p w14:paraId="3E377177" w14:textId="1890A964" w:rsidR="00AA13FE" w:rsidRDefault="00AA13FE" w:rsidP="00754F3C">
      <w:pPr>
        <w:autoSpaceDE w:val="0"/>
        <w:autoSpaceDN w:val="0"/>
        <w:adjustRightInd w:val="0"/>
        <w:spacing w:after="0" w:line="480" w:lineRule="auto"/>
        <w:rPr>
          <w:rFonts w:cstheme="minorHAnsi"/>
          <w:sz w:val="24"/>
          <w:szCs w:val="24"/>
          <w:lang w:val="en-GB"/>
        </w:rPr>
      </w:pPr>
      <w:r w:rsidRPr="00CE66BE">
        <w:rPr>
          <w:rFonts w:cstheme="minorHAnsi"/>
          <w:sz w:val="24"/>
          <w:szCs w:val="24"/>
          <w:lang w:val="en-GB"/>
        </w:rPr>
        <w:t xml:space="preserve">This study showed that </w:t>
      </w:r>
      <w:r w:rsidRPr="00CE66BE">
        <w:rPr>
          <w:rFonts w:cstheme="minorHAnsi"/>
          <w:color w:val="000000"/>
          <w:sz w:val="24"/>
          <w:szCs w:val="24"/>
          <w:lang w:val="en-GB"/>
        </w:rPr>
        <w:t>the use of CA registry data linked to mortality data from national/vital statistics</w:t>
      </w:r>
      <w:r w:rsidRPr="00CE66BE">
        <w:rPr>
          <w:rFonts w:cstheme="minorHAnsi"/>
          <w:sz w:val="24"/>
          <w:szCs w:val="24"/>
          <w:lang w:val="en-GB"/>
        </w:rPr>
        <w:t xml:space="preserve"> is a useful source of information to monitor the impact of existing policies at European and </w:t>
      </w:r>
      <w:r w:rsidR="00AD63C6" w:rsidRPr="00CE66BE">
        <w:rPr>
          <w:rFonts w:cstheme="minorHAnsi"/>
          <w:sz w:val="24"/>
          <w:szCs w:val="24"/>
          <w:lang w:val="en-GB"/>
        </w:rPr>
        <w:t xml:space="preserve">regional </w:t>
      </w:r>
      <w:r w:rsidR="00C963C4" w:rsidRPr="00CE66BE">
        <w:rPr>
          <w:rFonts w:cstheme="minorHAnsi"/>
          <w:sz w:val="24"/>
          <w:szCs w:val="24"/>
          <w:lang w:val="en-GB"/>
        </w:rPr>
        <w:t>level</w:t>
      </w:r>
      <w:r w:rsidR="00AD63C6" w:rsidRPr="00CE66BE">
        <w:rPr>
          <w:rFonts w:cstheme="minorHAnsi"/>
          <w:sz w:val="24"/>
          <w:szCs w:val="24"/>
          <w:lang w:val="en-GB"/>
        </w:rPr>
        <w:t>,</w:t>
      </w:r>
      <w:r w:rsidR="00C963C4" w:rsidRPr="00CE66BE">
        <w:rPr>
          <w:rFonts w:cstheme="minorHAnsi"/>
          <w:sz w:val="24"/>
          <w:szCs w:val="24"/>
          <w:lang w:val="en-GB"/>
        </w:rPr>
        <w:t xml:space="preserve"> </w:t>
      </w:r>
      <w:r w:rsidR="00AD63C6" w:rsidRPr="00CE66BE">
        <w:rPr>
          <w:rFonts w:cstheme="minorHAnsi"/>
          <w:sz w:val="24"/>
          <w:szCs w:val="24"/>
          <w:lang w:val="en-GB"/>
        </w:rPr>
        <w:t>to support future</w:t>
      </w:r>
      <w:r w:rsidR="00DC43B1" w:rsidRPr="00CE66BE">
        <w:rPr>
          <w:rFonts w:cstheme="minorHAnsi"/>
          <w:sz w:val="24"/>
          <w:szCs w:val="24"/>
          <w:lang w:val="en-GB"/>
        </w:rPr>
        <w:t xml:space="preserve"> optimisation </w:t>
      </w:r>
      <w:r w:rsidR="00AD63C6" w:rsidRPr="00CE66BE">
        <w:rPr>
          <w:rFonts w:cstheme="minorHAnsi"/>
          <w:sz w:val="24"/>
          <w:szCs w:val="24"/>
          <w:lang w:val="en-GB"/>
        </w:rPr>
        <w:t>of health care policies</w:t>
      </w:r>
      <w:r w:rsidR="00AD63C6" w:rsidRPr="00CE66BE" w:rsidDel="00AD63C6">
        <w:rPr>
          <w:rFonts w:cstheme="minorHAnsi"/>
          <w:sz w:val="24"/>
          <w:szCs w:val="24"/>
          <w:lang w:val="en-GB"/>
        </w:rPr>
        <w:t xml:space="preserve"> </w:t>
      </w:r>
      <w:r w:rsidRPr="00CE66BE">
        <w:rPr>
          <w:rFonts w:cstheme="minorHAnsi"/>
          <w:sz w:val="24"/>
          <w:szCs w:val="24"/>
          <w:lang w:val="en-GB"/>
        </w:rPr>
        <w:t xml:space="preserve">and to </w:t>
      </w:r>
      <w:r w:rsidR="00AD63C6" w:rsidRPr="00CE66BE">
        <w:rPr>
          <w:rFonts w:cstheme="minorHAnsi"/>
          <w:sz w:val="24"/>
          <w:szCs w:val="24"/>
          <w:lang w:val="en-GB"/>
        </w:rPr>
        <w:t xml:space="preserve">motivate </w:t>
      </w:r>
      <w:r w:rsidRPr="00CE66BE">
        <w:rPr>
          <w:rFonts w:cstheme="minorHAnsi"/>
          <w:sz w:val="24"/>
          <w:szCs w:val="24"/>
          <w:lang w:val="en-GB"/>
        </w:rPr>
        <w:t xml:space="preserve">further research questions. </w:t>
      </w:r>
      <w:r w:rsidRPr="00CE66BE">
        <w:rPr>
          <w:rFonts w:cstheme="minorHAnsi"/>
          <w:color w:val="000000"/>
          <w:sz w:val="24"/>
          <w:szCs w:val="24"/>
          <w:lang w:val="en-GB"/>
        </w:rPr>
        <w:t xml:space="preserve">Survival improved in the </w:t>
      </w:r>
      <w:r w:rsidR="00111A35" w:rsidRPr="00CE66BE">
        <w:rPr>
          <w:rFonts w:cstheme="minorHAnsi"/>
          <w:color w:val="000000"/>
          <w:sz w:val="24"/>
          <w:szCs w:val="24"/>
          <w:lang w:val="en-GB"/>
        </w:rPr>
        <w:t>most</w:t>
      </w:r>
      <w:r w:rsidRPr="00CE66BE">
        <w:rPr>
          <w:rFonts w:cstheme="minorHAnsi"/>
          <w:color w:val="000000"/>
          <w:sz w:val="24"/>
          <w:szCs w:val="24"/>
          <w:lang w:val="en-GB"/>
        </w:rPr>
        <w:t xml:space="preserve"> recent period (2005-2014)</w:t>
      </w:r>
      <w:r w:rsidR="00E82E26" w:rsidRPr="00CE66BE">
        <w:rPr>
          <w:rFonts w:cstheme="minorHAnsi"/>
          <w:color w:val="000000"/>
          <w:sz w:val="24"/>
          <w:szCs w:val="24"/>
          <w:lang w:val="en-GB"/>
        </w:rPr>
        <w:t xml:space="preserve">. </w:t>
      </w:r>
      <w:r w:rsidRPr="00CE66BE">
        <w:rPr>
          <w:rFonts w:cstheme="minorHAnsi"/>
          <w:sz w:val="24"/>
          <w:szCs w:val="24"/>
          <w:lang w:val="en-GB"/>
        </w:rPr>
        <w:t xml:space="preserve">We observed a </w:t>
      </w:r>
      <w:r w:rsidRPr="00CE66BE">
        <w:rPr>
          <w:rFonts w:cstheme="minorHAnsi"/>
          <w:color w:val="000000"/>
          <w:sz w:val="24"/>
          <w:szCs w:val="24"/>
          <w:lang w:val="en-GB"/>
        </w:rPr>
        <w:t xml:space="preserve">relatively high variability between registries, </w:t>
      </w:r>
      <w:r w:rsidR="0087681A" w:rsidRPr="00CE66BE">
        <w:rPr>
          <w:rFonts w:cstheme="minorHAnsi"/>
          <w:color w:val="000000"/>
          <w:sz w:val="24"/>
          <w:szCs w:val="24"/>
          <w:lang w:val="en-GB"/>
        </w:rPr>
        <w:t>however</w:t>
      </w:r>
      <w:r w:rsidRPr="00CE66BE">
        <w:rPr>
          <w:rFonts w:cstheme="minorHAnsi"/>
          <w:sz w:val="24"/>
          <w:szCs w:val="24"/>
          <w:lang w:val="en-GB"/>
        </w:rPr>
        <w:t xml:space="preserve"> </w:t>
      </w:r>
      <w:r w:rsidR="00304337" w:rsidRPr="00CE66BE">
        <w:rPr>
          <w:rFonts w:cstheme="minorHAnsi"/>
          <w:color w:val="000000"/>
          <w:sz w:val="24"/>
          <w:szCs w:val="24"/>
          <w:lang w:val="en-GB"/>
        </w:rPr>
        <w:t>caution</w:t>
      </w:r>
      <w:r w:rsidRPr="00CE66BE">
        <w:rPr>
          <w:rFonts w:cstheme="minorHAnsi"/>
          <w:color w:val="000000"/>
          <w:sz w:val="24"/>
          <w:szCs w:val="24"/>
          <w:lang w:val="en-GB"/>
        </w:rPr>
        <w:t xml:space="preserve"> must be taken in the interpretation of differences in survival</w:t>
      </w:r>
      <w:r w:rsidR="00200928" w:rsidRPr="00CE66BE">
        <w:rPr>
          <w:rFonts w:cstheme="minorHAnsi"/>
          <w:color w:val="000000"/>
          <w:sz w:val="24"/>
          <w:szCs w:val="24"/>
          <w:lang w:val="en-GB"/>
        </w:rPr>
        <w:t>,</w:t>
      </w:r>
      <w:r w:rsidR="00AE7DD1" w:rsidRPr="00CE66BE">
        <w:rPr>
          <w:rFonts w:cstheme="minorHAnsi"/>
          <w:color w:val="000000"/>
          <w:sz w:val="24"/>
          <w:szCs w:val="24"/>
          <w:lang w:val="en-GB"/>
        </w:rPr>
        <w:t xml:space="preserve"> with a particular focus on differences across registries in the exclusion/inclusion of less severe anomalies, the prevalence of prenatal screening and subsequent TOPFA, the source of mortality data and linkage success. </w:t>
      </w:r>
      <w:r w:rsidRPr="00CE66BE">
        <w:rPr>
          <w:rFonts w:cstheme="minorHAnsi"/>
          <w:color w:val="000000"/>
          <w:sz w:val="24"/>
          <w:szCs w:val="24"/>
          <w:lang w:val="en-GB"/>
        </w:rPr>
        <w:t xml:space="preserve"> </w:t>
      </w:r>
      <w:r w:rsidRPr="00CE66BE">
        <w:rPr>
          <w:rFonts w:cstheme="minorHAnsi"/>
          <w:sz w:val="24"/>
          <w:szCs w:val="24"/>
          <w:lang w:val="en-GB"/>
        </w:rPr>
        <w:t xml:space="preserve">Future studies should include more </w:t>
      </w:r>
      <w:r w:rsidRPr="00CE66BE">
        <w:rPr>
          <w:rFonts w:cstheme="minorHAnsi"/>
          <w:color w:val="000000"/>
          <w:sz w:val="24"/>
          <w:szCs w:val="24"/>
          <w:lang w:val="en-GB"/>
        </w:rPr>
        <w:t xml:space="preserve">areas in order to widen the geographical coverage and </w:t>
      </w:r>
      <w:r w:rsidR="00CB0643" w:rsidRPr="00CE66BE">
        <w:rPr>
          <w:rFonts w:cstheme="minorHAnsi"/>
          <w:color w:val="000000"/>
          <w:sz w:val="24"/>
          <w:szCs w:val="24"/>
          <w:lang w:val="en-GB"/>
        </w:rPr>
        <w:t>produce</w:t>
      </w:r>
      <w:r w:rsidRPr="00CE66BE">
        <w:rPr>
          <w:rFonts w:cstheme="minorHAnsi"/>
          <w:sz w:val="24"/>
          <w:szCs w:val="24"/>
          <w:lang w:val="en-GB"/>
        </w:rPr>
        <w:t xml:space="preserve"> findings which are more representative and </w:t>
      </w:r>
      <w:proofErr w:type="spellStart"/>
      <w:r w:rsidR="00E82E26" w:rsidRPr="00CE66BE">
        <w:rPr>
          <w:rFonts w:cstheme="minorHAnsi"/>
          <w:sz w:val="24"/>
          <w:szCs w:val="24"/>
          <w:lang w:val="en-GB"/>
        </w:rPr>
        <w:t>generali</w:t>
      </w:r>
      <w:r w:rsidR="00CB0643" w:rsidRPr="00CE66BE">
        <w:rPr>
          <w:rFonts w:cstheme="minorHAnsi"/>
          <w:sz w:val="24"/>
          <w:szCs w:val="24"/>
          <w:lang w:val="en-GB"/>
        </w:rPr>
        <w:t>s</w:t>
      </w:r>
      <w:r w:rsidR="00E82E26" w:rsidRPr="00CE66BE">
        <w:rPr>
          <w:rFonts w:cstheme="minorHAnsi"/>
          <w:sz w:val="24"/>
          <w:szCs w:val="24"/>
          <w:lang w:val="en-GB"/>
        </w:rPr>
        <w:t>able</w:t>
      </w:r>
      <w:proofErr w:type="spellEnd"/>
      <w:r w:rsidR="00E82E26" w:rsidRPr="00CE66BE">
        <w:rPr>
          <w:rFonts w:cstheme="minorHAnsi"/>
          <w:sz w:val="24"/>
          <w:szCs w:val="24"/>
          <w:lang w:val="en-GB"/>
        </w:rPr>
        <w:t xml:space="preserve"> at a European level</w:t>
      </w:r>
      <w:r w:rsidR="00A802DF" w:rsidRPr="00CE66BE">
        <w:rPr>
          <w:rFonts w:cstheme="minorHAnsi"/>
          <w:sz w:val="24"/>
          <w:szCs w:val="24"/>
          <w:lang w:val="en-GB"/>
        </w:rPr>
        <w:t xml:space="preserve"> adopting linkage methods such as those presented here</w:t>
      </w:r>
      <w:r w:rsidRPr="00CE66BE">
        <w:rPr>
          <w:rFonts w:cstheme="minorHAnsi"/>
          <w:sz w:val="24"/>
          <w:szCs w:val="24"/>
          <w:lang w:val="en-GB"/>
        </w:rPr>
        <w:t>.</w:t>
      </w:r>
    </w:p>
    <w:p w14:paraId="00BF1FAC" w14:textId="34C4CB58" w:rsidR="00E214D3" w:rsidRDefault="00E214D3" w:rsidP="00754F3C">
      <w:pPr>
        <w:autoSpaceDE w:val="0"/>
        <w:autoSpaceDN w:val="0"/>
        <w:adjustRightInd w:val="0"/>
        <w:spacing w:after="0" w:line="480" w:lineRule="auto"/>
        <w:rPr>
          <w:rFonts w:cstheme="minorHAnsi"/>
          <w:sz w:val="24"/>
          <w:szCs w:val="24"/>
          <w:lang w:val="en-GB"/>
        </w:rPr>
      </w:pPr>
    </w:p>
    <w:p w14:paraId="7CB9C25C" w14:textId="338B5AC8" w:rsidR="00E214D3" w:rsidRDefault="00E214D3" w:rsidP="00754F3C">
      <w:pPr>
        <w:autoSpaceDE w:val="0"/>
        <w:autoSpaceDN w:val="0"/>
        <w:adjustRightInd w:val="0"/>
        <w:spacing w:after="0" w:line="480" w:lineRule="auto"/>
        <w:rPr>
          <w:rFonts w:cstheme="minorHAnsi"/>
          <w:sz w:val="24"/>
          <w:szCs w:val="24"/>
          <w:lang w:val="en-GB"/>
        </w:rPr>
      </w:pPr>
    </w:p>
    <w:p w14:paraId="042685EC" w14:textId="3BD13B2B" w:rsidR="00E214D3" w:rsidRDefault="00E214D3" w:rsidP="00754F3C">
      <w:pPr>
        <w:autoSpaceDE w:val="0"/>
        <w:autoSpaceDN w:val="0"/>
        <w:adjustRightInd w:val="0"/>
        <w:spacing w:after="0" w:line="480" w:lineRule="auto"/>
        <w:rPr>
          <w:rFonts w:cstheme="minorHAnsi"/>
          <w:sz w:val="24"/>
          <w:szCs w:val="24"/>
          <w:lang w:val="en-GB"/>
        </w:rPr>
      </w:pPr>
    </w:p>
    <w:p w14:paraId="64D7C22D" w14:textId="795B279B" w:rsidR="00E214D3" w:rsidRDefault="00E214D3" w:rsidP="00754F3C">
      <w:pPr>
        <w:autoSpaceDE w:val="0"/>
        <w:autoSpaceDN w:val="0"/>
        <w:adjustRightInd w:val="0"/>
        <w:spacing w:after="0" w:line="480" w:lineRule="auto"/>
        <w:rPr>
          <w:rFonts w:cstheme="minorHAnsi"/>
          <w:sz w:val="24"/>
          <w:szCs w:val="24"/>
          <w:lang w:val="en-GB"/>
        </w:rPr>
      </w:pPr>
    </w:p>
    <w:p w14:paraId="390B6DAE" w14:textId="3B6BBD76" w:rsidR="00E214D3" w:rsidRDefault="00E214D3" w:rsidP="00754F3C">
      <w:pPr>
        <w:autoSpaceDE w:val="0"/>
        <w:autoSpaceDN w:val="0"/>
        <w:adjustRightInd w:val="0"/>
        <w:spacing w:after="0" w:line="480" w:lineRule="auto"/>
        <w:rPr>
          <w:rFonts w:cstheme="minorHAnsi"/>
          <w:sz w:val="24"/>
          <w:szCs w:val="24"/>
          <w:lang w:val="en-GB"/>
        </w:rPr>
      </w:pPr>
    </w:p>
    <w:p w14:paraId="2F502C50" w14:textId="77777777" w:rsidR="00E214D3" w:rsidRPr="00CE66BE" w:rsidRDefault="00E214D3" w:rsidP="00754F3C">
      <w:pPr>
        <w:autoSpaceDE w:val="0"/>
        <w:autoSpaceDN w:val="0"/>
        <w:adjustRightInd w:val="0"/>
        <w:spacing w:after="0" w:line="480" w:lineRule="auto"/>
        <w:rPr>
          <w:rFonts w:cstheme="minorHAnsi"/>
          <w:sz w:val="24"/>
          <w:szCs w:val="24"/>
          <w:lang w:val="en-GB"/>
        </w:rPr>
      </w:pPr>
    </w:p>
    <w:p w14:paraId="3A0146F2" w14:textId="77777777" w:rsidR="000A280A" w:rsidRPr="00CE66BE" w:rsidRDefault="000A280A" w:rsidP="000A280A">
      <w:pPr>
        <w:rPr>
          <w:rFonts w:cstheme="minorHAnsi"/>
          <w:b/>
          <w:lang w:val="en-GB"/>
        </w:rPr>
      </w:pPr>
      <w:r w:rsidRPr="00CE66BE">
        <w:rPr>
          <w:rFonts w:cstheme="minorHAnsi"/>
          <w:b/>
          <w:lang w:val="en-GB"/>
        </w:rPr>
        <w:lastRenderedPageBreak/>
        <w:t>REFERENCES</w:t>
      </w:r>
    </w:p>
    <w:p w14:paraId="5E0B957E" w14:textId="77777777" w:rsidR="000A280A" w:rsidRPr="00CE66BE" w:rsidRDefault="000A280A" w:rsidP="000A280A">
      <w:pPr>
        <w:rPr>
          <w:rFonts w:cstheme="minorHAnsi"/>
          <w:b/>
          <w:lang w:val="en-GB"/>
        </w:rPr>
      </w:pPr>
    </w:p>
    <w:p w14:paraId="7D72EBF8" w14:textId="77777777" w:rsidR="000A280A" w:rsidRPr="00CE66BE" w:rsidRDefault="000A280A" w:rsidP="000A280A">
      <w:pPr>
        <w:pStyle w:val="Paragrafoelenco"/>
        <w:numPr>
          <w:ilvl w:val="0"/>
          <w:numId w:val="18"/>
        </w:numPr>
        <w:autoSpaceDE w:val="0"/>
        <w:autoSpaceDN w:val="0"/>
        <w:adjustRightInd w:val="0"/>
        <w:spacing w:after="0" w:line="240" w:lineRule="auto"/>
        <w:ind w:left="714" w:hanging="357"/>
        <w:rPr>
          <w:rFonts w:cstheme="minorHAnsi"/>
          <w:lang w:val="en-GB"/>
        </w:rPr>
      </w:pPr>
      <w:r w:rsidRPr="00CE66BE">
        <w:rPr>
          <w:rFonts w:cstheme="minorHAnsi"/>
          <w:lang w:val="en-GB"/>
        </w:rPr>
        <w:t xml:space="preserve">Lozano R, </w:t>
      </w:r>
      <w:proofErr w:type="spellStart"/>
      <w:r w:rsidRPr="00CE66BE">
        <w:rPr>
          <w:rFonts w:cstheme="minorHAnsi"/>
          <w:lang w:val="en-GB"/>
        </w:rPr>
        <w:t>Naghavi</w:t>
      </w:r>
      <w:proofErr w:type="spellEnd"/>
      <w:r w:rsidRPr="00CE66BE">
        <w:rPr>
          <w:rFonts w:cstheme="minorHAnsi"/>
          <w:lang w:val="en-GB"/>
        </w:rPr>
        <w:t xml:space="preserve"> M, Foreman K, et al. Global and regional mortality from 235 causes of death for 20 age groups in 1990 and 2010: a systematic analysis for the global burden of disease study 2010. Lancet 2012</w:t>
      </w:r>
      <w:proofErr w:type="gramStart"/>
      <w:r w:rsidRPr="00CE66BE">
        <w:rPr>
          <w:rFonts w:cstheme="minorHAnsi"/>
          <w:lang w:val="en-GB"/>
        </w:rPr>
        <w:t>;380:2095</w:t>
      </w:r>
      <w:proofErr w:type="gramEnd"/>
      <w:r w:rsidRPr="00CE66BE">
        <w:rPr>
          <w:rFonts w:cstheme="minorHAnsi"/>
          <w:lang w:val="en-GB"/>
        </w:rPr>
        <w:t>–128.</w:t>
      </w:r>
    </w:p>
    <w:p w14:paraId="3CD38A32" w14:textId="77777777" w:rsidR="000A280A" w:rsidRPr="00CE66BE" w:rsidRDefault="000A280A" w:rsidP="000A280A">
      <w:pPr>
        <w:pStyle w:val="Paragrafoelenco"/>
        <w:autoSpaceDE w:val="0"/>
        <w:autoSpaceDN w:val="0"/>
        <w:adjustRightInd w:val="0"/>
        <w:spacing w:after="0" w:line="240" w:lineRule="auto"/>
        <w:ind w:left="714"/>
        <w:rPr>
          <w:rFonts w:cstheme="minorHAnsi"/>
          <w:lang w:val="en-GB"/>
        </w:rPr>
      </w:pPr>
    </w:p>
    <w:p w14:paraId="1A6978CF" w14:textId="77777777" w:rsidR="000A280A" w:rsidRPr="00CE66BE" w:rsidRDefault="000A280A" w:rsidP="000A280A">
      <w:pPr>
        <w:pStyle w:val="Paragrafoelenco"/>
        <w:numPr>
          <w:ilvl w:val="0"/>
          <w:numId w:val="18"/>
        </w:numPr>
        <w:autoSpaceDE w:val="0"/>
        <w:autoSpaceDN w:val="0"/>
        <w:adjustRightInd w:val="0"/>
        <w:spacing w:after="0" w:line="240" w:lineRule="auto"/>
        <w:ind w:left="714" w:hanging="357"/>
        <w:rPr>
          <w:rFonts w:cstheme="minorHAnsi"/>
          <w:lang w:val="en-GB"/>
        </w:rPr>
      </w:pPr>
      <w:r w:rsidRPr="00CE66BE">
        <w:rPr>
          <w:rFonts w:cstheme="minorHAnsi"/>
        </w:rPr>
        <w:t xml:space="preserve">Murray CJ, </w:t>
      </w:r>
      <w:proofErr w:type="spellStart"/>
      <w:r w:rsidRPr="00CE66BE">
        <w:rPr>
          <w:rFonts w:cstheme="minorHAnsi"/>
        </w:rPr>
        <w:t>Ezzati</w:t>
      </w:r>
      <w:proofErr w:type="spellEnd"/>
      <w:r w:rsidRPr="00CE66BE">
        <w:rPr>
          <w:rFonts w:cstheme="minorHAnsi"/>
        </w:rPr>
        <w:t xml:space="preserve"> M, </w:t>
      </w:r>
      <w:proofErr w:type="spellStart"/>
      <w:r w:rsidRPr="00CE66BE">
        <w:rPr>
          <w:rFonts w:cstheme="minorHAnsi"/>
        </w:rPr>
        <w:t>Flaxman</w:t>
      </w:r>
      <w:proofErr w:type="spellEnd"/>
      <w:r w:rsidRPr="00CE66BE">
        <w:rPr>
          <w:rFonts w:cstheme="minorHAnsi"/>
        </w:rPr>
        <w:t xml:space="preserve"> </w:t>
      </w:r>
      <w:proofErr w:type="gramStart"/>
      <w:r w:rsidRPr="00CE66BE">
        <w:rPr>
          <w:rFonts w:cstheme="minorHAnsi"/>
        </w:rPr>
        <w:t>AD</w:t>
      </w:r>
      <w:proofErr w:type="gramEnd"/>
      <w:r w:rsidRPr="00CE66BE">
        <w:rPr>
          <w:rFonts w:cstheme="minorHAnsi"/>
        </w:rPr>
        <w:t xml:space="preserve">, et al. </w:t>
      </w:r>
      <w:r w:rsidRPr="00CE66BE">
        <w:rPr>
          <w:rFonts w:cstheme="minorHAnsi"/>
          <w:lang w:val="en-GB"/>
        </w:rPr>
        <w:t>GBD 2010: a multi-investigator collaboration for global comparative descriptive epidemiology. Lancet 2012</w:t>
      </w:r>
      <w:proofErr w:type="gramStart"/>
      <w:r w:rsidRPr="00CE66BE">
        <w:rPr>
          <w:rFonts w:cstheme="minorHAnsi"/>
          <w:lang w:val="en-GB"/>
        </w:rPr>
        <w:t>;380:2055</w:t>
      </w:r>
      <w:proofErr w:type="gramEnd"/>
      <w:r w:rsidRPr="00CE66BE">
        <w:rPr>
          <w:rFonts w:cstheme="minorHAnsi"/>
          <w:lang w:val="en-GB"/>
        </w:rPr>
        <w:t>–8.</w:t>
      </w:r>
    </w:p>
    <w:p w14:paraId="5B4C4C1A" w14:textId="77777777" w:rsidR="000A280A" w:rsidRPr="00CE66BE" w:rsidRDefault="000A280A" w:rsidP="000A280A">
      <w:pPr>
        <w:pStyle w:val="Paragrafoelenco"/>
        <w:autoSpaceDE w:val="0"/>
        <w:autoSpaceDN w:val="0"/>
        <w:adjustRightInd w:val="0"/>
        <w:spacing w:after="0" w:line="240" w:lineRule="auto"/>
        <w:ind w:left="714"/>
        <w:rPr>
          <w:rFonts w:cstheme="minorHAnsi"/>
          <w:lang w:val="en-GB"/>
        </w:rPr>
      </w:pPr>
    </w:p>
    <w:p w14:paraId="19107669" w14:textId="77777777" w:rsidR="000A280A" w:rsidRPr="00CE66BE" w:rsidRDefault="000A280A" w:rsidP="000A280A">
      <w:pPr>
        <w:pStyle w:val="Paragrafoelenco"/>
        <w:numPr>
          <w:ilvl w:val="0"/>
          <w:numId w:val="18"/>
        </w:numPr>
        <w:autoSpaceDE w:val="0"/>
        <w:autoSpaceDN w:val="0"/>
        <w:adjustRightInd w:val="0"/>
        <w:spacing w:after="0" w:line="240" w:lineRule="auto"/>
        <w:ind w:left="714" w:hanging="357"/>
        <w:rPr>
          <w:rFonts w:cstheme="minorHAnsi"/>
          <w:lang w:val="en-GB"/>
        </w:rPr>
      </w:pPr>
      <w:r w:rsidRPr="00CE66BE">
        <w:rPr>
          <w:rFonts w:cstheme="minorHAnsi"/>
          <w:lang w:val="en-GB"/>
        </w:rPr>
        <w:t xml:space="preserve">Hug L, Alexander M, You D, </w:t>
      </w:r>
      <w:proofErr w:type="spellStart"/>
      <w:r w:rsidRPr="00CE66BE">
        <w:rPr>
          <w:rFonts w:cstheme="minorHAnsi"/>
          <w:lang w:val="en-GB"/>
        </w:rPr>
        <w:t>Alkema</w:t>
      </w:r>
      <w:proofErr w:type="spellEnd"/>
      <w:r w:rsidRPr="00CE66BE">
        <w:rPr>
          <w:rFonts w:cstheme="minorHAnsi"/>
          <w:lang w:val="en-GB"/>
        </w:rPr>
        <w:t xml:space="preserve"> L; UN Inter-agency Group for Child Mortality Estimation. National, regional, and global levels and trends in neonatal mortality between 1990 and 2017, with scenario-based projections to 2030: a systematic analysis. Lancet Glob Health. 2019 Jun</w:t>
      </w:r>
      <w:proofErr w:type="gramStart"/>
      <w:r w:rsidRPr="00CE66BE">
        <w:rPr>
          <w:rFonts w:cstheme="minorHAnsi"/>
          <w:lang w:val="en-GB"/>
        </w:rPr>
        <w:t>;7</w:t>
      </w:r>
      <w:proofErr w:type="gramEnd"/>
      <w:r w:rsidRPr="00CE66BE">
        <w:rPr>
          <w:rFonts w:cstheme="minorHAnsi"/>
          <w:lang w:val="en-GB"/>
        </w:rPr>
        <w:t xml:space="preserve">(6):e710-e720. </w:t>
      </w:r>
      <w:proofErr w:type="spellStart"/>
      <w:proofErr w:type="gramStart"/>
      <w:r w:rsidRPr="00CE66BE">
        <w:rPr>
          <w:rFonts w:cstheme="minorHAnsi"/>
          <w:lang w:val="en-GB"/>
        </w:rPr>
        <w:t>doi</w:t>
      </w:r>
      <w:proofErr w:type="spellEnd"/>
      <w:proofErr w:type="gramEnd"/>
      <w:r w:rsidRPr="00CE66BE">
        <w:rPr>
          <w:rFonts w:cstheme="minorHAnsi"/>
          <w:lang w:val="en-GB"/>
        </w:rPr>
        <w:t>: 10.1016/S2214-109X(19)30163-9.</w:t>
      </w:r>
    </w:p>
    <w:p w14:paraId="279B6261" w14:textId="77777777" w:rsidR="000A280A" w:rsidRPr="00CE66BE" w:rsidRDefault="000A280A" w:rsidP="000A280A">
      <w:pPr>
        <w:pStyle w:val="Paragrafoelenco"/>
        <w:autoSpaceDE w:val="0"/>
        <w:autoSpaceDN w:val="0"/>
        <w:adjustRightInd w:val="0"/>
        <w:spacing w:after="0" w:line="240" w:lineRule="auto"/>
        <w:ind w:left="714"/>
        <w:rPr>
          <w:rFonts w:cstheme="minorHAnsi"/>
          <w:lang w:val="en-GB"/>
        </w:rPr>
      </w:pPr>
    </w:p>
    <w:p w14:paraId="0F19DA9D" w14:textId="77777777" w:rsidR="000A280A" w:rsidRPr="00CE66BE" w:rsidRDefault="000A280A" w:rsidP="000A280A">
      <w:pPr>
        <w:pStyle w:val="EndNoteBibliography"/>
        <w:numPr>
          <w:ilvl w:val="0"/>
          <w:numId w:val="18"/>
        </w:numPr>
        <w:ind w:left="714" w:hanging="357"/>
        <w:contextualSpacing/>
        <w:jc w:val="left"/>
        <w:rPr>
          <w:rFonts w:asciiTheme="minorHAnsi" w:hAnsiTheme="minorHAnsi" w:cstheme="minorHAnsi"/>
        </w:rPr>
      </w:pPr>
      <w:r w:rsidRPr="00CE66BE">
        <w:rPr>
          <w:rFonts w:asciiTheme="minorHAnsi" w:hAnsiTheme="minorHAnsi" w:cstheme="minorHAnsi"/>
        </w:rPr>
        <w:t>Rosano A, Botto LD, Botting B, Mastroiacovo P. Infant mortality and congenital anomalies from 1950 to 1994: an international perspective. J Epidemiol Comm Health. 2000;54(9):660-666.</w:t>
      </w:r>
    </w:p>
    <w:p w14:paraId="6DE4756D" w14:textId="77777777" w:rsidR="000A280A" w:rsidRPr="00CE66BE" w:rsidRDefault="000A280A" w:rsidP="000A280A">
      <w:pPr>
        <w:pStyle w:val="EndNoteBibliography"/>
        <w:ind w:left="714"/>
        <w:contextualSpacing/>
        <w:jc w:val="left"/>
        <w:rPr>
          <w:rFonts w:asciiTheme="minorHAnsi" w:hAnsiTheme="minorHAnsi" w:cstheme="minorHAnsi"/>
        </w:rPr>
      </w:pPr>
    </w:p>
    <w:p w14:paraId="7079BFDF" w14:textId="77777777" w:rsidR="000A280A" w:rsidRPr="00CE66BE" w:rsidRDefault="000A280A" w:rsidP="000A280A">
      <w:pPr>
        <w:pStyle w:val="Paragrafoelenco"/>
        <w:numPr>
          <w:ilvl w:val="0"/>
          <w:numId w:val="18"/>
        </w:numPr>
        <w:autoSpaceDE w:val="0"/>
        <w:autoSpaceDN w:val="0"/>
        <w:adjustRightInd w:val="0"/>
        <w:spacing w:after="0" w:line="240" w:lineRule="auto"/>
        <w:ind w:left="714" w:hanging="357"/>
        <w:rPr>
          <w:rFonts w:cstheme="minorHAnsi"/>
          <w:lang w:val="en-GB"/>
        </w:rPr>
      </w:pPr>
      <w:r w:rsidRPr="00CE66BE">
        <w:rPr>
          <w:rFonts w:cstheme="minorHAnsi"/>
          <w:lang w:val="en-GB"/>
        </w:rPr>
        <w:t xml:space="preserve">Liu L, Johnson HL, </w:t>
      </w:r>
      <w:proofErr w:type="spellStart"/>
      <w:r w:rsidRPr="00CE66BE">
        <w:rPr>
          <w:rFonts w:cstheme="minorHAnsi"/>
          <w:lang w:val="en-GB"/>
        </w:rPr>
        <w:t>Cousens</w:t>
      </w:r>
      <w:proofErr w:type="spellEnd"/>
      <w:r w:rsidRPr="00CE66BE">
        <w:rPr>
          <w:rFonts w:cstheme="minorHAnsi"/>
          <w:lang w:val="en-GB"/>
        </w:rPr>
        <w:t xml:space="preserve"> S, et al. Global, regional, and national causes of child mortality: an updated systematic analysis for 2010 with time trends since 2000. Lancet 2012</w:t>
      </w:r>
      <w:proofErr w:type="gramStart"/>
      <w:r w:rsidRPr="00CE66BE">
        <w:rPr>
          <w:rFonts w:cstheme="minorHAnsi"/>
          <w:lang w:val="en-GB"/>
        </w:rPr>
        <w:t>;379:2151</w:t>
      </w:r>
      <w:proofErr w:type="gramEnd"/>
      <w:r w:rsidRPr="00CE66BE">
        <w:rPr>
          <w:rFonts w:cstheme="minorHAnsi"/>
          <w:lang w:val="en-GB"/>
        </w:rPr>
        <w:t>–61.</w:t>
      </w:r>
    </w:p>
    <w:p w14:paraId="09C2AFCC" w14:textId="77777777" w:rsidR="000A280A" w:rsidRPr="00CE66BE" w:rsidRDefault="000A280A" w:rsidP="000A280A">
      <w:pPr>
        <w:pStyle w:val="Paragrafoelenco"/>
        <w:rPr>
          <w:rFonts w:cstheme="minorHAnsi"/>
          <w:lang w:val="en-GB"/>
        </w:rPr>
      </w:pPr>
    </w:p>
    <w:p w14:paraId="0CDEDA3D" w14:textId="77777777" w:rsidR="000A280A" w:rsidRPr="00CE66BE" w:rsidRDefault="000A280A" w:rsidP="000A280A">
      <w:pPr>
        <w:pStyle w:val="Paragrafoelenco"/>
        <w:numPr>
          <w:ilvl w:val="0"/>
          <w:numId w:val="18"/>
        </w:numPr>
        <w:autoSpaceDE w:val="0"/>
        <w:autoSpaceDN w:val="0"/>
        <w:adjustRightInd w:val="0"/>
        <w:spacing w:after="0" w:line="240" w:lineRule="auto"/>
        <w:rPr>
          <w:rFonts w:cstheme="minorHAnsi"/>
          <w:lang w:val="en-GB"/>
        </w:rPr>
      </w:pPr>
      <w:r w:rsidRPr="00CE66BE">
        <w:rPr>
          <w:rFonts w:cstheme="minorHAnsi"/>
          <w:lang w:val="en-GB"/>
        </w:rPr>
        <w:t>GBD 2015 Child Mortality Collaborators. Global, regional, national, and selected subnational levels of stillbirths, neonatal, infant, and under-5 mortality, 1980-2015: a systematic analysis for the Global Burden of Disease Study 2015. Lancet. 2016 Oct 8</w:t>
      </w:r>
      <w:proofErr w:type="gramStart"/>
      <w:r w:rsidRPr="00CE66BE">
        <w:rPr>
          <w:rFonts w:cstheme="minorHAnsi"/>
          <w:lang w:val="en-GB"/>
        </w:rPr>
        <w:t>;388</w:t>
      </w:r>
      <w:proofErr w:type="gramEnd"/>
      <w:r w:rsidRPr="00CE66BE">
        <w:rPr>
          <w:rFonts w:cstheme="minorHAnsi"/>
          <w:lang w:val="en-GB"/>
        </w:rPr>
        <w:t xml:space="preserve">(10053):1725-1774. </w:t>
      </w:r>
      <w:proofErr w:type="spellStart"/>
      <w:r w:rsidRPr="00CE66BE">
        <w:rPr>
          <w:rFonts w:cstheme="minorHAnsi"/>
          <w:lang w:val="en-GB"/>
        </w:rPr>
        <w:t>doi</w:t>
      </w:r>
      <w:proofErr w:type="spellEnd"/>
      <w:r w:rsidRPr="00CE66BE">
        <w:rPr>
          <w:rFonts w:cstheme="minorHAnsi"/>
          <w:lang w:val="en-GB"/>
        </w:rPr>
        <w:t>: 10.1016/S0140-6736(16)31575-6</w:t>
      </w:r>
    </w:p>
    <w:p w14:paraId="5C670151" w14:textId="77777777" w:rsidR="000A280A" w:rsidRPr="00CE66BE" w:rsidRDefault="000A280A" w:rsidP="000A280A">
      <w:pPr>
        <w:pStyle w:val="Paragrafoelenco"/>
        <w:rPr>
          <w:rFonts w:cstheme="minorHAnsi"/>
          <w:lang w:val="en-GB"/>
        </w:rPr>
      </w:pPr>
    </w:p>
    <w:p w14:paraId="76AA723D" w14:textId="77777777" w:rsidR="000A280A" w:rsidRPr="00CE66BE" w:rsidRDefault="000A280A" w:rsidP="000A280A">
      <w:pPr>
        <w:pStyle w:val="Paragrafoelenco"/>
        <w:numPr>
          <w:ilvl w:val="0"/>
          <w:numId w:val="18"/>
        </w:numPr>
        <w:spacing w:after="0" w:line="240" w:lineRule="auto"/>
        <w:rPr>
          <w:rStyle w:val="mixed-citation"/>
          <w:rFonts w:cstheme="minorHAnsi"/>
          <w:lang w:val="en-GB"/>
        </w:rPr>
      </w:pPr>
      <w:r w:rsidRPr="00CE66BE">
        <w:rPr>
          <w:rStyle w:val="mixed-citation"/>
          <w:rFonts w:cstheme="minorHAnsi"/>
          <w:lang w:val="en-GB"/>
        </w:rPr>
        <w:t>Christianson A, Howson C, Modell B. March of Dimes global report on birth defects: the hidden toll of dying and disabled children. The March of Dimes Birth Defects Foundation. 2006.</w:t>
      </w:r>
    </w:p>
    <w:p w14:paraId="03ED8AFF" w14:textId="77777777" w:rsidR="000A280A" w:rsidRPr="00CE66BE" w:rsidRDefault="000A280A" w:rsidP="000A280A">
      <w:pPr>
        <w:pStyle w:val="Paragrafoelenco"/>
        <w:spacing w:after="0" w:line="240" w:lineRule="auto"/>
        <w:rPr>
          <w:rStyle w:val="mixed-citation"/>
          <w:rFonts w:cstheme="minorHAnsi"/>
          <w:lang w:val="en-GB"/>
        </w:rPr>
      </w:pPr>
    </w:p>
    <w:p w14:paraId="4AF9FD6D" w14:textId="77777777" w:rsidR="000A280A" w:rsidRPr="00CE66BE" w:rsidRDefault="000A280A" w:rsidP="000A280A">
      <w:pPr>
        <w:pStyle w:val="Paragrafoelenco"/>
        <w:numPr>
          <w:ilvl w:val="0"/>
          <w:numId w:val="18"/>
        </w:numPr>
        <w:spacing w:after="0" w:line="240" w:lineRule="auto"/>
        <w:rPr>
          <w:rFonts w:cstheme="minorHAnsi"/>
          <w:lang w:val="en-GB"/>
        </w:rPr>
      </w:pPr>
      <w:r w:rsidRPr="00CE66BE">
        <w:rPr>
          <w:rFonts w:cstheme="minorHAnsi"/>
          <w:lang w:val="en-GB"/>
        </w:rPr>
        <w:t xml:space="preserve">Fraser J, </w:t>
      </w:r>
      <w:proofErr w:type="spellStart"/>
      <w:r w:rsidRPr="00CE66BE">
        <w:rPr>
          <w:rFonts w:cstheme="minorHAnsi"/>
          <w:lang w:val="en-GB"/>
        </w:rPr>
        <w:t>Sidebotham</w:t>
      </w:r>
      <w:proofErr w:type="spellEnd"/>
      <w:r w:rsidRPr="00CE66BE">
        <w:rPr>
          <w:rFonts w:cstheme="minorHAnsi"/>
          <w:lang w:val="en-GB"/>
        </w:rPr>
        <w:t xml:space="preserve"> P, Frederick J, et al. </w:t>
      </w:r>
      <w:proofErr w:type="gramStart"/>
      <w:r w:rsidRPr="00CE66BE">
        <w:rPr>
          <w:rFonts w:cstheme="minorHAnsi"/>
          <w:lang w:val="en-GB"/>
        </w:rPr>
        <w:t>Learning</w:t>
      </w:r>
      <w:proofErr w:type="gramEnd"/>
      <w:r w:rsidRPr="00CE66BE">
        <w:rPr>
          <w:rFonts w:cstheme="minorHAnsi"/>
          <w:lang w:val="en-GB"/>
        </w:rPr>
        <w:t xml:space="preserve"> from child death review in the USA, England, Australia, and New Zealand. Lancet. 2014 Sep 6</w:t>
      </w:r>
      <w:proofErr w:type="gramStart"/>
      <w:r w:rsidRPr="00CE66BE">
        <w:rPr>
          <w:rFonts w:cstheme="minorHAnsi"/>
          <w:lang w:val="en-GB"/>
        </w:rPr>
        <w:t>;384</w:t>
      </w:r>
      <w:proofErr w:type="gramEnd"/>
      <w:r w:rsidRPr="00CE66BE">
        <w:rPr>
          <w:rFonts w:cstheme="minorHAnsi"/>
          <w:lang w:val="en-GB"/>
        </w:rPr>
        <w:t xml:space="preserve">(9946):894-903. </w:t>
      </w:r>
      <w:proofErr w:type="spellStart"/>
      <w:proofErr w:type="gramStart"/>
      <w:r w:rsidRPr="00CE66BE">
        <w:rPr>
          <w:rFonts w:cstheme="minorHAnsi"/>
          <w:lang w:val="en-GB"/>
        </w:rPr>
        <w:t>doi</w:t>
      </w:r>
      <w:proofErr w:type="spellEnd"/>
      <w:proofErr w:type="gramEnd"/>
      <w:r w:rsidRPr="00CE66BE">
        <w:rPr>
          <w:rFonts w:cstheme="minorHAnsi"/>
          <w:lang w:val="en-GB"/>
        </w:rPr>
        <w:t>: 10.1016/S0140-6736(13)61089-2.</w:t>
      </w:r>
    </w:p>
    <w:p w14:paraId="737C1F8D" w14:textId="77777777" w:rsidR="000A280A" w:rsidRPr="00CE66BE" w:rsidRDefault="000A280A" w:rsidP="000A280A">
      <w:pPr>
        <w:pStyle w:val="EndNoteBibliography"/>
        <w:ind w:left="720"/>
        <w:contextualSpacing/>
        <w:jc w:val="left"/>
        <w:rPr>
          <w:rFonts w:asciiTheme="minorHAnsi" w:hAnsiTheme="minorHAnsi" w:cstheme="minorHAnsi"/>
          <w:noProof w:val="0"/>
          <w:lang w:val="en-GB"/>
        </w:rPr>
      </w:pPr>
    </w:p>
    <w:p w14:paraId="7BD36612" w14:textId="77777777" w:rsidR="000A280A" w:rsidRPr="00CE66BE" w:rsidRDefault="000A280A" w:rsidP="000A280A">
      <w:pPr>
        <w:pStyle w:val="EndNoteBibliography"/>
        <w:numPr>
          <w:ilvl w:val="0"/>
          <w:numId w:val="18"/>
        </w:numPr>
        <w:contextualSpacing/>
        <w:jc w:val="left"/>
        <w:rPr>
          <w:rFonts w:asciiTheme="minorHAnsi" w:hAnsiTheme="minorHAnsi" w:cstheme="minorHAnsi"/>
          <w:noProof w:val="0"/>
          <w:lang w:val="en-GB"/>
        </w:rPr>
      </w:pPr>
      <w:r w:rsidRPr="00CE66BE">
        <w:rPr>
          <w:rFonts w:asciiTheme="minorHAnsi" w:hAnsiTheme="minorHAnsi" w:cstheme="minorHAnsi"/>
          <w:noProof w:val="0"/>
          <w:lang w:val="en-GB"/>
        </w:rPr>
        <w:t>Best KE, Rankin J. Long-Term Survival of Individuals Born With Congenital Heart Disease: A Systematic Review and Meta-Analysis. J Am Heart Assoc. 2016</w:t>
      </w:r>
      <w:proofErr w:type="gramStart"/>
      <w:r w:rsidRPr="00CE66BE">
        <w:rPr>
          <w:rFonts w:asciiTheme="minorHAnsi" w:hAnsiTheme="minorHAnsi" w:cstheme="minorHAnsi"/>
          <w:noProof w:val="0"/>
          <w:lang w:val="en-GB"/>
        </w:rPr>
        <w:t>;5</w:t>
      </w:r>
      <w:proofErr w:type="gramEnd"/>
      <w:r w:rsidRPr="00CE66BE">
        <w:rPr>
          <w:rFonts w:asciiTheme="minorHAnsi" w:hAnsiTheme="minorHAnsi" w:cstheme="minorHAnsi"/>
          <w:noProof w:val="0"/>
          <w:lang w:val="en-GB"/>
        </w:rPr>
        <w:t>(6):e002846.</w:t>
      </w:r>
    </w:p>
    <w:p w14:paraId="77FFB87F" w14:textId="77777777" w:rsidR="000A280A" w:rsidRPr="00CE66BE" w:rsidRDefault="000A280A" w:rsidP="000A280A">
      <w:pPr>
        <w:pStyle w:val="EndNoteBibliography"/>
        <w:ind w:left="720"/>
        <w:contextualSpacing/>
        <w:jc w:val="left"/>
        <w:rPr>
          <w:rFonts w:asciiTheme="minorHAnsi" w:hAnsiTheme="minorHAnsi" w:cstheme="minorHAnsi"/>
          <w:noProof w:val="0"/>
          <w:lang w:val="en-GB"/>
        </w:rPr>
      </w:pPr>
    </w:p>
    <w:p w14:paraId="2855D8FF" w14:textId="77777777" w:rsidR="000A280A" w:rsidRPr="00CE66BE" w:rsidRDefault="000A280A" w:rsidP="000A280A">
      <w:pPr>
        <w:pStyle w:val="Paragrafoelenco"/>
        <w:numPr>
          <w:ilvl w:val="0"/>
          <w:numId w:val="18"/>
        </w:numPr>
        <w:spacing w:after="0" w:line="240" w:lineRule="auto"/>
        <w:rPr>
          <w:rFonts w:cstheme="minorHAnsi"/>
          <w:lang w:val="en-GB"/>
        </w:rPr>
      </w:pPr>
      <w:r w:rsidRPr="00CE66BE">
        <w:rPr>
          <w:rFonts w:cstheme="minorHAnsi"/>
          <w:lang w:val="en-GB"/>
        </w:rPr>
        <w:t>Glinianaia SV, Morris JK, Best KE, et al. Long-term survival of children born with congenital anomalies: A systematic review and meta-analysis of population-based studies. PLOS Med. 2020</w:t>
      </w:r>
      <w:proofErr w:type="gramStart"/>
      <w:r w:rsidRPr="00CE66BE">
        <w:rPr>
          <w:rFonts w:cstheme="minorHAnsi"/>
          <w:lang w:val="en-GB"/>
        </w:rPr>
        <w:t>;17</w:t>
      </w:r>
      <w:proofErr w:type="gramEnd"/>
      <w:r w:rsidRPr="00CE66BE">
        <w:rPr>
          <w:rFonts w:cstheme="minorHAnsi"/>
          <w:lang w:val="en-GB"/>
        </w:rPr>
        <w:t>(9):e1003356.</w:t>
      </w:r>
    </w:p>
    <w:p w14:paraId="00728808" w14:textId="77777777" w:rsidR="000A280A" w:rsidRPr="00CE66BE" w:rsidRDefault="000A280A" w:rsidP="000A280A">
      <w:pPr>
        <w:pStyle w:val="Paragrafoelenco"/>
        <w:spacing w:after="0" w:line="240" w:lineRule="auto"/>
        <w:rPr>
          <w:rFonts w:cstheme="minorHAnsi"/>
          <w:lang w:val="en-GB"/>
        </w:rPr>
      </w:pPr>
    </w:p>
    <w:p w14:paraId="44D942C5" w14:textId="77777777" w:rsidR="000A280A" w:rsidRPr="00CE66BE" w:rsidRDefault="000A280A" w:rsidP="000A280A">
      <w:pPr>
        <w:pStyle w:val="EndNoteBibliography"/>
        <w:numPr>
          <w:ilvl w:val="0"/>
          <w:numId w:val="18"/>
        </w:numPr>
        <w:contextualSpacing/>
        <w:jc w:val="left"/>
        <w:rPr>
          <w:rFonts w:asciiTheme="minorHAnsi" w:hAnsiTheme="minorHAnsi" w:cstheme="minorHAnsi"/>
          <w:noProof w:val="0"/>
          <w:lang w:val="en-GB"/>
        </w:rPr>
      </w:pPr>
      <w:r w:rsidRPr="00CE66BE">
        <w:rPr>
          <w:rFonts w:asciiTheme="minorHAnsi" w:hAnsiTheme="minorHAnsi" w:cstheme="minorHAnsi"/>
        </w:rPr>
        <w:t>Wang H, Liddell CA, Coates MM,</w:t>
      </w:r>
      <w:r w:rsidRPr="00CE66BE">
        <w:rPr>
          <w:rFonts w:asciiTheme="minorHAnsi" w:hAnsiTheme="minorHAnsi" w:cstheme="minorHAnsi"/>
          <w:noProof w:val="0"/>
          <w:lang w:val="en-GB"/>
        </w:rPr>
        <w:t xml:space="preserve"> et al., Global, regional, and national levels of neonatal, infant, and under-5 mortality during 1990-2013: a systematic analysis for the Global Burden of Disease Study 2013. Lancet, 2014. 384(9947): p. 957-79.</w:t>
      </w:r>
    </w:p>
    <w:p w14:paraId="5DE34B52" w14:textId="77777777" w:rsidR="000A280A" w:rsidRPr="00CE66BE" w:rsidRDefault="000A280A" w:rsidP="000A280A">
      <w:pPr>
        <w:pStyle w:val="EndNoteBibliography"/>
        <w:ind w:left="720"/>
        <w:contextualSpacing/>
        <w:jc w:val="left"/>
        <w:rPr>
          <w:rFonts w:asciiTheme="minorHAnsi" w:hAnsiTheme="minorHAnsi" w:cstheme="minorHAnsi"/>
          <w:noProof w:val="0"/>
          <w:lang w:val="en-GB"/>
        </w:rPr>
      </w:pPr>
    </w:p>
    <w:p w14:paraId="73CD603A" w14:textId="77777777" w:rsidR="000A280A" w:rsidRPr="00CE66BE" w:rsidRDefault="000A280A" w:rsidP="000A280A">
      <w:pPr>
        <w:pStyle w:val="Paragrafoelenco"/>
        <w:numPr>
          <w:ilvl w:val="0"/>
          <w:numId w:val="18"/>
        </w:numPr>
        <w:autoSpaceDE w:val="0"/>
        <w:autoSpaceDN w:val="0"/>
        <w:adjustRightInd w:val="0"/>
        <w:spacing w:after="0" w:line="240" w:lineRule="auto"/>
        <w:rPr>
          <w:rFonts w:cstheme="minorHAnsi"/>
          <w:lang w:val="en-GB"/>
        </w:rPr>
      </w:pPr>
      <w:r w:rsidRPr="00CE66BE">
        <w:rPr>
          <w:rFonts w:cstheme="minorHAnsi"/>
          <w:lang w:val="en-GB"/>
        </w:rPr>
        <w:t>Pitt MJ, Morris JK. European trends in mortality in children with congenital anomalies: 2000-2015. Birth Defects Res 2021;doi: 10.1002/bdr2.1892</w:t>
      </w:r>
    </w:p>
    <w:p w14:paraId="28F1904D" w14:textId="77777777" w:rsidR="000A280A" w:rsidRPr="00CE66BE" w:rsidRDefault="000A280A" w:rsidP="000A280A">
      <w:pPr>
        <w:pStyle w:val="Paragrafoelenco"/>
        <w:autoSpaceDE w:val="0"/>
        <w:autoSpaceDN w:val="0"/>
        <w:adjustRightInd w:val="0"/>
        <w:spacing w:after="0" w:line="240" w:lineRule="auto"/>
        <w:rPr>
          <w:rFonts w:cstheme="minorHAnsi"/>
          <w:lang w:val="en-GB"/>
        </w:rPr>
      </w:pPr>
    </w:p>
    <w:p w14:paraId="56399DEE" w14:textId="61A1F311" w:rsidR="000A280A" w:rsidRDefault="000A280A" w:rsidP="000A280A">
      <w:pPr>
        <w:pStyle w:val="EndNoteBibliography"/>
        <w:numPr>
          <w:ilvl w:val="0"/>
          <w:numId w:val="18"/>
        </w:numPr>
        <w:contextualSpacing/>
        <w:jc w:val="left"/>
        <w:rPr>
          <w:rFonts w:asciiTheme="minorHAnsi" w:hAnsiTheme="minorHAnsi" w:cstheme="minorHAnsi"/>
          <w:noProof w:val="0"/>
          <w:lang w:val="en-GB"/>
        </w:rPr>
      </w:pPr>
      <w:r w:rsidRPr="00CE66BE">
        <w:rPr>
          <w:rFonts w:asciiTheme="minorHAnsi" w:hAnsiTheme="minorHAnsi" w:cstheme="minorHAnsi"/>
        </w:rPr>
        <w:t xml:space="preserve">Zylbersztejn A, Gilbert R, Hjern A, </w:t>
      </w:r>
      <w:r w:rsidRPr="00CE66BE">
        <w:rPr>
          <w:rFonts w:asciiTheme="minorHAnsi" w:hAnsiTheme="minorHAnsi" w:cstheme="minorHAnsi"/>
          <w:noProof w:val="0"/>
          <w:lang w:val="en-GB"/>
        </w:rPr>
        <w:t>et al., Child mortality in England compared with Sweden: a birth cohort study. Lancet, 2018. 391(10134): p. 2008-2018.</w:t>
      </w:r>
    </w:p>
    <w:p w14:paraId="1CF6AF6A" w14:textId="4FB7E6BD" w:rsidR="005D5C9C" w:rsidRPr="00CE66BE" w:rsidRDefault="005D5C9C" w:rsidP="000A280A">
      <w:pPr>
        <w:pStyle w:val="EndNoteBibliography"/>
        <w:numPr>
          <w:ilvl w:val="0"/>
          <w:numId w:val="18"/>
        </w:numPr>
        <w:contextualSpacing/>
        <w:jc w:val="left"/>
        <w:rPr>
          <w:rFonts w:asciiTheme="minorHAnsi" w:hAnsiTheme="minorHAnsi" w:cstheme="minorHAnsi"/>
          <w:noProof w:val="0"/>
          <w:lang w:val="en-GB"/>
        </w:rPr>
      </w:pPr>
      <w:r w:rsidRPr="008D34C2">
        <w:rPr>
          <w:rFonts w:cstheme="minorHAnsi"/>
          <w:bCs/>
          <w:lang w:val="en-GB"/>
        </w:rPr>
        <w:lastRenderedPageBreak/>
        <w:t xml:space="preserve">GBD 2019 Under-5 Mortality Collaborators. Global, regional, and national progress towards Sustainable Development Goal 3.2 for neonatal and child health: all-cause and cause-specific mortality findings from the Global Burden of Disease Study 2019. </w:t>
      </w:r>
      <w:r w:rsidRPr="00267182">
        <w:rPr>
          <w:rFonts w:cstheme="minorHAnsi"/>
          <w:bCs/>
        </w:rPr>
        <w:t>Lancet. 2021 Sep 4;398(10303):870-905. doi: 10.1016/S0140-6736(21)01207-1.</w:t>
      </w:r>
    </w:p>
    <w:p w14:paraId="7B6CA9FF" w14:textId="77777777" w:rsidR="000A280A" w:rsidRPr="00CE66BE" w:rsidRDefault="000A280A" w:rsidP="000A280A">
      <w:pPr>
        <w:pStyle w:val="Paragrafoelenco"/>
        <w:rPr>
          <w:rFonts w:cstheme="minorHAnsi"/>
          <w:lang w:val="en-GB"/>
        </w:rPr>
      </w:pPr>
    </w:p>
    <w:p w14:paraId="12C2831E" w14:textId="77777777" w:rsidR="000A280A" w:rsidRPr="00CE66BE" w:rsidRDefault="000A280A" w:rsidP="000A280A">
      <w:pPr>
        <w:pStyle w:val="Paragrafoelenco"/>
        <w:numPr>
          <w:ilvl w:val="0"/>
          <w:numId w:val="18"/>
        </w:numPr>
        <w:spacing w:after="0" w:line="240" w:lineRule="auto"/>
        <w:rPr>
          <w:rFonts w:cstheme="minorHAnsi"/>
          <w:lang w:val="en-GB"/>
        </w:rPr>
      </w:pPr>
      <w:r w:rsidRPr="00CE66BE">
        <w:rPr>
          <w:rFonts w:cstheme="minorHAnsi"/>
          <w:lang w:val="en-GB"/>
        </w:rPr>
        <w:t xml:space="preserve">Eurostat, cause-of-death statistics: https://ec.europa.eu/eurostat/databrowser/view/hlth_cd_aro/default/table?lang=en </w:t>
      </w:r>
    </w:p>
    <w:p w14:paraId="4B2CC388" w14:textId="77777777" w:rsidR="000A280A" w:rsidRPr="00CE66BE" w:rsidRDefault="000A280A" w:rsidP="000A280A">
      <w:pPr>
        <w:pStyle w:val="Paragrafoelenco"/>
        <w:spacing w:after="0" w:line="240" w:lineRule="auto"/>
        <w:rPr>
          <w:rFonts w:cstheme="minorHAnsi"/>
          <w:lang w:val="en-GB"/>
        </w:rPr>
      </w:pPr>
      <w:r w:rsidRPr="00CE66BE">
        <w:rPr>
          <w:rFonts w:cstheme="minorHAnsi"/>
          <w:lang w:val="en-GB"/>
        </w:rPr>
        <w:t>Accessed 01 June 2021</w:t>
      </w:r>
    </w:p>
    <w:p w14:paraId="71D645C6" w14:textId="77777777" w:rsidR="000A280A" w:rsidRPr="00CE66BE" w:rsidRDefault="000A280A" w:rsidP="000A280A">
      <w:pPr>
        <w:pStyle w:val="Paragrafoelenco"/>
        <w:spacing w:after="0" w:line="240" w:lineRule="auto"/>
        <w:rPr>
          <w:rFonts w:cstheme="minorHAnsi"/>
          <w:lang w:val="en-GB"/>
        </w:rPr>
      </w:pPr>
    </w:p>
    <w:p w14:paraId="443FBAA9" w14:textId="77777777" w:rsidR="000A280A" w:rsidRPr="00CE66BE" w:rsidRDefault="000A280A" w:rsidP="000A280A">
      <w:pPr>
        <w:pStyle w:val="Paragrafoelenco"/>
        <w:numPr>
          <w:ilvl w:val="0"/>
          <w:numId w:val="18"/>
        </w:numPr>
        <w:spacing w:after="0" w:line="240" w:lineRule="auto"/>
        <w:rPr>
          <w:rFonts w:cstheme="minorHAnsi"/>
          <w:lang w:val="en-GB"/>
        </w:rPr>
      </w:pPr>
      <w:r w:rsidRPr="00CE66BE">
        <w:rPr>
          <w:rFonts w:cstheme="minorHAnsi"/>
          <w:lang w:val="en-GB"/>
        </w:rPr>
        <w:t xml:space="preserve">Copeland GE, Kirby RS. Using birth defects registry data to evaluate infant and childhood mortality associated with birth defects: An alternative to traditional mortality assessment using underlying cause of death statistics. Birth Defects Res Part A: </w:t>
      </w:r>
      <w:proofErr w:type="spellStart"/>
      <w:r w:rsidRPr="00CE66BE">
        <w:rPr>
          <w:rFonts w:cstheme="minorHAnsi"/>
          <w:lang w:val="en-GB"/>
        </w:rPr>
        <w:t>Clin</w:t>
      </w:r>
      <w:proofErr w:type="spellEnd"/>
      <w:r w:rsidRPr="00CE66BE">
        <w:rPr>
          <w:rFonts w:cstheme="minorHAnsi"/>
          <w:lang w:val="en-GB"/>
        </w:rPr>
        <w:t xml:space="preserve"> </w:t>
      </w:r>
      <w:proofErr w:type="spellStart"/>
      <w:r w:rsidRPr="00CE66BE">
        <w:rPr>
          <w:rFonts w:cstheme="minorHAnsi"/>
          <w:lang w:val="en-GB"/>
        </w:rPr>
        <w:t>Mol</w:t>
      </w:r>
      <w:proofErr w:type="spellEnd"/>
      <w:r w:rsidRPr="00CE66BE">
        <w:rPr>
          <w:rFonts w:cstheme="minorHAnsi"/>
          <w:lang w:val="en-GB"/>
        </w:rPr>
        <w:t xml:space="preserve"> </w:t>
      </w:r>
      <w:proofErr w:type="spellStart"/>
      <w:r w:rsidRPr="00CE66BE">
        <w:rPr>
          <w:rFonts w:cstheme="minorHAnsi"/>
          <w:lang w:val="en-GB"/>
        </w:rPr>
        <w:t>Teratol</w:t>
      </w:r>
      <w:proofErr w:type="spellEnd"/>
      <w:r w:rsidRPr="00CE66BE">
        <w:rPr>
          <w:rFonts w:cstheme="minorHAnsi"/>
          <w:lang w:val="en-GB"/>
        </w:rPr>
        <w:t>. 2007</w:t>
      </w:r>
      <w:proofErr w:type="gramStart"/>
      <w:r w:rsidRPr="00CE66BE">
        <w:rPr>
          <w:rFonts w:cstheme="minorHAnsi"/>
          <w:lang w:val="en-GB"/>
        </w:rPr>
        <w:t>;79</w:t>
      </w:r>
      <w:proofErr w:type="gramEnd"/>
      <w:r w:rsidRPr="00CE66BE">
        <w:rPr>
          <w:rFonts w:cstheme="minorHAnsi"/>
          <w:lang w:val="en-GB"/>
        </w:rPr>
        <w:t>(11):792-797.</w:t>
      </w:r>
    </w:p>
    <w:p w14:paraId="5BE8B771" w14:textId="77777777" w:rsidR="000A280A" w:rsidRPr="00CE66BE" w:rsidRDefault="000A280A" w:rsidP="000A280A">
      <w:pPr>
        <w:pStyle w:val="Paragrafoelenco"/>
        <w:spacing w:after="0" w:line="240" w:lineRule="auto"/>
        <w:rPr>
          <w:rFonts w:cstheme="minorHAnsi"/>
          <w:lang w:val="en-GB"/>
        </w:rPr>
      </w:pPr>
    </w:p>
    <w:p w14:paraId="09D23FEC" w14:textId="77777777" w:rsidR="000A280A" w:rsidRPr="00CE66BE" w:rsidRDefault="000A280A" w:rsidP="000A280A">
      <w:pPr>
        <w:pStyle w:val="Paragrafoelenco"/>
        <w:numPr>
          <w:ilvl w:val="0"/>
          <w:numId w:val="18"/>
        </w:numPr>
        <w:autoSpaceDE w:val="0"/>
        <w:autoSpaceDN w:val="0"/>
        <w:adjustRightInd w:val="0"/>
        <w:spacing w:after="0" w:line="240" w:lineRule="auto"/>
        <w:rPr>
          <w:rFonts w:cstheme="minorHAnsi"/>
          <w:lang w:val="en-GB"/>
        </w:rPr>
      </w:pPr>
      <w:r w:rsidRPr="00CE66BE">
        <w:rPr>
          <w:rFonts w:cstheme="minorHAnsi"/>
          <w:lang w:val="en-GB"/>
        </w:rPr>
        <w:t>Modell B, Berry RJ, Boyle CA, et al. Global regional and national causes of child mortality. Lancet 2012</w:t>
      </w:r>
      <w:proofErr w:type="gramStart"/>
      <w:r w:rsidRPr="00CE66BE">
        <w:rPr>
          <w:rFonts w:cstheme="minorHAnsi"/>
          <w:lang w:val="en-GB"/>
        </w:rPr>
        <w:t>;380:1556</w:t>
      </w:r>
      <w:proofErr w:type="gramEnd"/>
      <w:r w:rsidRPr="00CE66BE">
        <w:rPr>
          <w:rFonts w:cstheme="minorHAnsi"/>
          <w:lang w:val="en-GB"/>
        </w:rPr>
        <w:t>.</w:t>
      </w:r>
    </w:p>
    <w:p w14:paraId="61EAFA5A" w14:textId="77777777" w:rsidR="000A280A" w:rsidRPr="00CE66BE" w:rsidRDefault="000A280A" w:rsidP="000A280A">
      <w:pPr>
        <w:pStyle w:val="Paragrafoelenco"/>
        <w:spacing w:after="0" w:line="240" w:lineRule="auto"/>
        <w:rPr>
          <w:rFonts w:cstheme="minorHAnsi"/>
          <w:lang w:val="en-GB"/>
        </w:rPr>
      </w:pPr>
    </w:p>
    <w:p w14:paraId="0E9342B0" w14:textId="77777777" w:rsidR="000A280A" w:rsidRPr="00CE66BE" w:rsidRDefault="000A280A" w:rsidP="000A280A">
      <w:pPr>
        <w:pStyle w:val="Paragrafoelenco"/>
        <w:numPr>
          <w:ilvl w:val="0"/>
          <w:numId w:val="18"/>
        </w:numPr>
        <w:spacing w:after="0" w:line="240" w:lineRule="auto"/>
        <w:rPr>
          <w:rFonts w:cstheme="minorHAnsi"/>
          <w:lang w:val="en-GB"/>
        </w:rPr>
      </w:pPr>
      <w:r w:rsidRPr="00CE66BE">
        <w:rPr>
          <w:rFonts w:cstheme="minorHAnsi"/>
        </w:rPr>
        <w:t xml:space="preserve">Boyle B, Addor MC, </w:t>
      </w:r>
      <w:proofErr w:type="spellStart"/>
      <w:r w:rsidRPr="00CE66BE">
        <w:rPr>
          <w:rFonts w:cstheme="minorHAnsi"/>
        </w:rPr>
        <w:t>Arriola</w:t>
      </w:r>
      <w:proofErr w:type="spellEnd"/>
      <w:r w:rsidRPr="00CE66BE">
        <w:rPr>
          <w:rFonts w:cstheme="minorHAnsi"/>
        </w:rPr>
        <w:t xml:space="preserve"> L, et al. </w:t>
      </w:r>
      <w:r w:rsidRPr="00CE66BE">
        <w:rPr>
          <w:rFonts w:cstheme="minorHAnsi"/>
          <w:lang w:val="en-GB"/>
        </w:rPr>
        <w:t xml:space="preserve">Estimating Global Burden of Disease due to congenital anomaly: an analysis of European data. Arch Dis Child </w:t>
      </w:r>
      <w:proofErr w:type="spellStart"/>
      <w:r w:rsidRPr="00CE66BE">
        <w:rPr>
          <w:rFonts w:cstheme="minorHAnsi"/>
          <w:lang w:val="en-GB"/>
        </w:rPr>
        <w:t>Fetal</w:t>
      </w:r>
      <w:proofErr w:type="spellEnd"/>
      <w:r w:rsidRPr="00CE66BE">
        <w:rPr>
          <w:rFonts w:cstheme="minorHAnsi"/>
          <w:lang w:val="en-GB"/>
        </w:rPr>
        <w:t xml:space="preserve"> Neonatal Ed. 2018</w:t>
      </w:r>
      <w:proofErr w:type="gramStart"/>
      <w:r w:rsidRPr="00CE66BE">
        <w:rPr>
          <w:rFonts w:cstheme="minorHAnsi"/>
          <w:lang w:val="en-GB"/>
        </w:rPr>
        <w:t>;103</w:t>
      </w:r>
      <w:proofErr w:type="gramEnd"/>
      <w:r w:rsidRPr="00CE66BE">
        <w:rPr>
          <w:rFonts w:cstheme="minorHAnsi"/>
          <w:lang w:val="en-GB"/>
        </w:rPr>
        <w:t>(1):F22-F28.</w:t>
      </w:r>
    </w:p>
    <w:p w14:paraId="4272144F" w14:textId="77777777" w:rsidR="000A280A" w:rsidRPr="00CE66BE" w:rsidRDefault="000A280A" w:rsidP="000A280A">
      <w:pPr>
        <w:pStyle w:val="Paragrafoelenco"/>
        <w:rPr>
          <w:rFonts w:cstheme="minorHAnsi"/>
          <w:lang w:val="en-GB"/>
        </w:rPr>
      </w:pPr>
    </w:p>
    <w:p w14:paraId="6AAC650A" w14:textId="4BB9D6E9" w:rsidR="000A280A" w:rsidRDefault="000A280A" w:rsidP="000A280A">
      <w:pPr>
        <w:pStyle w:val="Paragrafoelenco"/>
        <w:numPr>
          <w:ilvl w:val="0"/>
          <w:numId w:val="18"/>
        </w:numPr>
        <w:spacing w:after="0" w:line="240" w:lineRule="auto"/>
        <w:rPr>
          <w:rFonts w:cstheme="minorHAnsi"/>
          <w:lang w:val="en-GB"/>
        </w:rPr>
      </w:pPr>
      <w:proofErr w:type="gramStart"/>
      <w:r w:rsidRPr="00CE66BE">
        <w:rPr>
          <w:rFonts w:cstheme="minorHAnsi"/>
          <w:lang w:val="en-GB"/>
        </w:rPr>
        <w:t>Gatt</w:t>
      </w:r>
      <w:proofErr w:type="gramEnd"/>
      <w:r w:rsidRPr="00CE66BE">
        <w:rPr>
          <w:rFonts w:cstheme="minorHAnsi"/>
          <w:lang w:val="en-GB"/>
        </w:rPr>
        <w:t xml:space="preserve"> M, England K, </w:t>
      </w:r>
      <w:proofErr w:type="spellStart"/>
      <w:r w:rsidRPr="00CE66BE">
        <w:rPr>
          <w:rFonts w:cstheme="minorHAnsi"/>
          <w:lang w:val="en-GB"/>
        </w:rPr>
        <w:t>Grech</w:t>
      </w:r>
      <w:proofErr w:type="spellEnd"/>
      <w:r w:rsidRPr="00CE66BE">
        <w:rPr>
          <w:rFonts w:cstheme="minorHAnsi"/>
          <w:lang w:val="en-GB"/>
        </w:rPr>
        <w:t xml:space="preserve"> V, Calleja N. Contribution of Congenital Anomalies to Neonatal Mortality Rates in Malta. </w:t>
      </w:r>
      <w:proofErr w:type="spellStart"/>
      <w:r w:rsidRPr="00CE66BE">
        <w:rPr>
          <w:rFonts w:cstheme="minorHAnsi"/>
        </w:rPr>
        <w:t>Paediatr</w:t>
      </w:r>
      <w:proofErr w:type="spellEnd"/>
      <w:r w:rsidRPr="00CE66BE">
        <w:rPr>
          <w:rFonts w:cstheme="minorHAnsi"/>
        </w:rPr>
        <w:t xml:space="preserve"> </w:t>
      </w:r>
      <w:proofErr w:type="spellStart"/>
      <w:r w:rsidRPr="00CE66BE">
        <w:rPr>
          <w:rFonts w:cstheme="minorHAnsi"/>
        </w:rPr>
        <w:t>Perinat</w:t>
      </w:r>
      <w:proofErr w:type="spellEnd"/>
      <w:r w:rsidRPr="00CE66BE">
        <w:rPr>
          <w:rFonts w:cstheme="minorHAnsi"/>
        </w:rPr>
        <w:t xml:space="preserve"> </w:t>
      </w:r>
      <w:proofErr w:type="spellStart"/>
      <w:r w:rsidRPr="00CE66BE">
        <w:rPr>
          <w:rFonts w:cstheme="minorHAnsi"/>
        </w:rPr>
        <w:t>Epidemiol</w:t>
      </w:r>
      <w:proofErr w:type="spellEnd"/>
      <w:r w:rsidRPr="00CE66BE">
        <w:rPr>
          <w:rFonts w:cstheme="minorHAnsi"/>
        </w:rPr>
        <w:t xml:space="preserve">. 2015 Sep;29(5):401-6. </w:t>
      </w:r>
      <w:proofErr w:type="spellStart"/>
      <w:r w:rsidRPr="00CE66BE">
        <w:rPr>
          <w:rFonts w:cstheme="minorHAnsi"/>
        </w:rPr>
        <w:t>doi</w:t>
      </w:r>
      <w:proofErr w:type="spellEnd"/>
      <w:r w:rsidRPr="00CE66BE">
        <w:rPr>
          <w:rFonts w:cstheme="minorHAnsi"/>
        </w:rPr>
        <w:t>: 10.1111/ppe.12206</w:t>
      </w:r>
    </w:p>
    <w:p w14:paraId="33767632" w14:textId="77777777" w:rsidR="0082776A" w:rsidRPr="0082776A" w:rsidRDefault="0082776A" w:rsidP="0082776A">
      <w:pPr>
        <w:pStyle w:val="Paragrafoelenco"/>
        <w:spacing w:after="0" w:line="240" w:lineRule="auto"/>
        <w:rPr>
          <w:rFonts w:cstheme="minorHAnsi"/>
          <w:lang w:val="en-GB"/>
        </w:rPr>
      </w:pPr>
    </w:p>
    <w:p w14:paraId="72AD2152" w14:textId="77777777" w:rsidR="000A280A" w:rsidRPr="00CE66BE" w:rsidRDefault="000A280A" w:rsidP="000A280A">
      <w:pPr>
        <w:pStyle w:val="EndNoteBibliography"/>
        <w:numPr>
          <w:ilvl w:val="0"/>
          <w:numId w:val="18"/>
        </w:numPr>
        <w:contextualSpacing/>
        <w:jc w:val="left"/>
        <w:rPr>
          <w:rFonts w:asciiTheme="minorHAnsi" w:hAnsiTheme="minorHAnsi" w:cstheme="minorHAnsi"/>
          <w:noProof w:val="0"/>
          <w:lang w:val="en-GB"/>
        </w:rPr>
      </w:pPr>
      <w:r w:rsidRPr="00CE66BE">
        <w:rPr>
          <w:rFonts w:asciiTheme="minorHAnsi" w:hAnsiTheme="minorHAnsi" w:cstheme="minorHAnsi"/>
          <w:noProof w:val="0"/>
          <w:lang w:val="it-IT"/>
        </w:rPr>
        <w:t xml:space="preserve">Morris JK, Garne E, Loane M, et al. </w:t>
      </w:r>
      <w:proofErr w:type="spellStart"/>
      <w:r w:rsidRPr="00CE66BE">
        <w:rPr>
          <w:rFonts w:asciiTheme="minorHAnsi" w:hAnsiTheme="minorHAnsi" w:cstheme="minorHAnsi"/>
          <w:noProof w:val="0"/>
          <w:lang w:val="en-GB"/>
        </w:rPr>
        <w:t>EUROlinkCAT</w:t>
      </w:r>
      <w:proofErr w:type="spellEnd"/>
      <w:r w:rsidRPr="00CE66BE">
        <w:rPr>
          <w:rFonts w:asciiTheme="minorHAnsi" w:hAnsiTheme="minorHAnsi" w:cstheme="minorHAnsi"/>
          <w:noProof w:val="0"/>
          <w:lang w:val="en-GB"/>
        </w:rPr>
        <w:t xml:space="preserve"> protocol for a European population-based data linkage study investigating the survival, morbidity and education of children with congenital anomalies. 2021 Jun 28</w:t>
      </w:r>
      <w:proofErr w:type="gramStart"/>
      <w:r w:rsidRPr="00CE66BE">
        <w:rPr>
          <w:rFonts w:asciiTheme="minorHAnsi" w:hAnsiTheme="minorHAnsi" w:cstheme="minorHAnsi"/>
          <w:noProof w:val="0"/>
          <w:lang w:val="en-GB"/>
        </w:rPr>
        <w:t>;11</w:t>
      </w:r>
      <w:proofErr w:type="gramEnd"/>
      <w:r w:rsidRPr="00CE66BE">
        <w:rPr>
          <w:rFonts w:asciiTheme="minorHAnsi" w:hAnsiTheme="minorHAnsi" w:cstheme="minorHAnsi"/>
          <w:noProof w:val="0"/>
          <w:lang w:val="en-GB"/>
        </w:rPr>
        <w:t xml:space="preserve">(6):e047859. </w:t>
      </w:r>
      <w:proofErr w:type="spellStart"/>
      <w:proofErr w:type="gramStart"/>
      <w:r w:rsidRPr="00CE66BE">
        <w:rPr>
          <w:rFonts w:asciiTheme="minorHAnsi" w:hAnsiTheme="minorHAnsi" w:cstheme="minorHAnsi"/>
          <w:noProof w:val="0"/>
          <w:lang w:val="en-GB"/>
        </w:rPr>
        <w:t>doi</w:t>
      </w:r>
      <w:proofErr w:type="spellEnd"/>
      <w:proofErr w:type="gramEnd"/>
      <w:r w:rsidRPr="00CE66BE">
        <w:rPr>
          <w:rFonts w:asciiTheme="minorHAnsi" w:hAnsiTheme="minorHAnsi" w:cstheme="minorHAnsi"/>
          <w:noProof w:val="0"/>
          <w:lang w:val="en-GB"/>
        </w:rPr>
        <w:t>: 10.1136/bmjopen-2020-047859.</w:t>
      </w:r>
    </w:p>
    <w:p w14:paraId="76E44E2E" w14:textId="77777777" w:rsidR="000A280A" w:rsidRPr="00CE66BE" w:rsidRDefault="000A280A" w:rsidP="000A280A">
      <w:pPr>
        <w:pStyle w:val="EndNoteBibliography"/>
        <w:ind w:left="280"/>
        <w:contextualSpacing/>
        <w:jc w:val="left"/>
        <w:rPr>
          <w:rFonts w:asciiTheme="minorHAnsi" w:hAnsiTheme="minorHAnsi" w:cstheme="minorHAnsi"/>
          <w:noProof w:val="0"/>
          <w:lang w:val="en-GB"/>
        </w:rPr>
      </w:pPr>
    </w:p>
    <w:p w14:paraId="2F98439B" w14:textId="77777777" w:rsidR="000A280A" w:rsidRPr="00CE66BE" w:rsidRDefault="000A280A" w:rsidP="000A280A">
      <w:pPr>
        <w:pStyle w:val="Paragrafoelenco"/>
        <w:numPr>
          <w:ilvl w:val="0"/>
          <w:numId w:val="18"/>
        </w:numPr>
        <w:spacing w:after="0" w:line="240" w:lineRule="auto"/>
        <w:rPr>
          <w:rFonts w:cstheme="minorHAnsi"/>
          <w:lang w:val="en-GB"/>
        </w:rPr>
      </w:pPr>
      <w:r w:rsidRPr="00CE66BE">
        <w:rPr>
          <w:rFonts w:cstheme="minorHAnsi"/>
          <w:lang w:val="en-GB"/>
        </w:rPr>
        <w:t xml:space="preserve">Boyd PA, Haeusler M, </w:t>
      </w:r>
      <w:proofErr w:type="spellStart"/>
      <w:r w:rsidRPr="00CE66BE">
        <w:rPr>
          <w:rFonts w:cstheme="minorHAnsi"/>
          <w:lang w:val="en-GB"/>
        </w:rPr>
        <w:t>Barisic</w:t>
      </w:r>
      <w:proofErr w:type="spellEnd"/>
      <w:r w:rsidRPr="00CE66BE">
        <w:rPr>
          <w:rFonts w:cstheme="minorHAnsi"/>
          <w:lang w:val="en-GB"/>
        </w:rPr>
        <w:t xml:space="preserve"> I, et al.  Paper 1: The EUROCAT network-organization and processes. Birth Defects Res A </w:t>
      </w:r>
      <w:proofErr w:type="spellStart"/>
      <w:r w:rsidRPr="00CE66BE">
        <w:rPr>
          <w:rFonts w:cstheme="minorHAnsi"/>
          <w:lang w:val="en-GB"/>
        </w:rPr>
        <w:t>Clin</w:t>
      </w:r>
      <w:proofErr w:type="spellEnd"/>
      <w:r w:rsidRPr="00CE66BE">
        <w:rPr>
          <w:rFonts w:cstheme="minorHAnsi"/>
          <w:lang w:val="en-GB"/>
        </w:rPr>
        <w:t xml:space="preserve"> </w:t>
      </w:r>
      <w:proofErr w:type="spellStart"/>
      <w:r w:rsidRPr="00CE66BE">
        <w:rPr>
          <w:rFonts w:cstheme="minorHAnsi"/>
          <w:lang w:val="en-GB"/>
        </w:rPr>
        <w:t>Mol</w:t>
      </w:r>
      <w:proofErr w:type="spellEnd"/>
      <w:r w:rsidRPr="00CE66BE">
        <w:rPr>
          <w:rFonts w:cstheme="minorHAnsi"/>
          <w:lang w:val="en-GB"/>
        </w:rPr>
        <w:t xml:space="preserve"> </w:t>
      </w:r>
      <w:proofErr w:type="spellStart"/>
      <w:r w:rsidRPr="00CE66BE">
        <w:rPr>
          <w:rFonts w:cstheme="minorHAnsi"/>
          <w:lang w:val="en-GB"/>
        </w:rPr>
        <w:t>Teratol</w:t>
      </w:r>
      <w:proofErr w:type="spellEnd"/>
      <w:r w:rsidRPr="00CE66BE">
        <w:rPr>
          <w:rFonts w:cstheme="minorHAnsi"/>
          <w:lang w:val="en-GB"/>
        </w:rPr>
        <w:t>. 2011 Mar</w:t>
      </w:r>
      <w:proofErr w:type="gramStart"/>
      <w:r w:rsidRPr="00CE66BE">
        <w:rPr>
          <w:rFonts w:cstheme="minorHAnsi"/>
          <w:lang w:val="en-GB"/>
        </w:rPr>
        <w:t>;91</w:t>
      </w:r>
      <w:proofErr w:type="gramEnd"/>
      <w:r w:rsidRPr="00CE66BE">
        <w:rPr>
          <w:rFonts w:cstheme="minorHAnsi"/>
          <w:lang w:val="en-GB"/>
        </w:rPr>
        <w:t xml:space="preserve"> </w:t>
      </w:r>
      <w:proofErr w:type="spellStart"/>
      <w:r w:rsidRPr="00CE66BE">
        <w:rPr>
          <w:rFonts w:cstheme="minorHAnsi"/>
          <w:lang w:val="en-GB"/>
        </w:rPr>
        <w:t>Suppl</w:t>
      </w:r>
      <w:proofErr w:type="spellEnd"/>
      <w:r w:rsidRPr="00CE66BE">
        <w:rPr>
          <w:rFonts w:cstheme="minorHAnsi"/>
          <w:lang w:val="en-GB"/>
        </w:rPr>
        <w:t xml:space="preserve"> 1:S2-15. </w:t>
      </w:r>
      <w:proofErr w:type="spellStart"/>
      <w:proofErr w:type="gramStart"/>
      <w:r w:rsidRPr="00CE66BE">
        <w:rPr>
          <w:rFonts w:cstheme="minorHAnsi"/>
          <w:lang w:val="en-GB"/>
        </w:rPr>
        <w:t>doi</w:t>
      </w:r>
      <w:proofErr w:type="spellEnd"/>
      <w:proofErr w:type="gramEnd"/>
      <w:r w:rsidRPr="00CE66BE">
        <w:rPr>
          <w:rFonts w:cstheme="minorHAnsi"/>
          <w:lang w:val="en-GB"/>
        </w:rPr>
        <w:t>: 10.1002/bdra.20780.</w:t>
      </w:r>
    </w:p>
    <w:p w14:paraId="7F6665C0" w14:textId="77777777" w:rsidR="000A280A" w:rsidRPr="00CE66BE" w:rsidRDefault="000A280A" w:rsidP="000A280A">
      <w:pPr>
        <w:pStyle w:val="Paragrafoelenco"/>
        <w:spacing w:after="0" w:line="240" w:lineRule="auto"/>
        <w:rPr>
          <w:rFonts w:cstheme="minorHAnsi"/>
          <w:lang w:val="en-GB"/>
        </w:rPr>
      </w:pPr>
    </w:p>
    <w:p w14:paraId="165A6BCA" w14:textId="77777777" w:rsidR="000A280A" w:rsidRPr="00CE66BE" w:rsidRDefault="000A280A" w:rsidP="000A280A">
      <w:pPr>
        <w:pStyle w:val="Paragrafoelenco"/>
        <w:numPr>
          <w:ilvl w:val="0"/>
          <w:numId w:val="18"/>
        </w:numPr>
        <w:spacing w:after="0" w:line="240" w:lineRule="auto"/>
        <w:rPr>
          <w:rFonts w:cstheme="minorHAnsi"/>
          <w:lang w:val="en-GB"/>
        </w:rPr>
      </w:pPr>
      <w:r w:rsidRPr="00CE66BE">
        <w:rPr>
          <w:rFonts w:cstheme="minorHAnsi"/>
          <w:lang w:val="en-GB"/>
        </w:rPr>
        <w:t>Tucker FD, Morris JK, JRC Management Committee, et al.  EUROCAT: an update on its functions and activities. J Community Genet. 2018 Oct</w:t>
      </w:r>
      <w:proofErr w:type="gramStart"/>
      <w:r w:rsidRPr="00CE66BE">
        <w:rPr>
          <w:rFonts w:cstheme="minorHAnsi"/>
          <w:lang w:val="en-GB"/>
        </w:rPr>
        <w:t>;9</w:t>
      </w:r>
      <w:proofErr w:type="gramEnd"/>
      <w:r w:rsidRPr="00CE66BE">
        <w:rPr>
          <w:rFonts w:cstheme="minorHAnsi"/>
          <w:lang w:val="en-GB"/>
        </w:rPr>
        <w:t xml:space="preserve">(4):407-410. </w:t>
      </w:r>
      <w:proofErr w:type="spellStart"/>
      <w:proofErr w:type="gramStart"/>
      <w:r w:rsidRPr="00CE66BE">
        <w:rPr>
          <w:rFonts w:cstheme="minorHAnsi"/>
          <w:lang w:val="en-GB"/>
        </w:rPr>
        <w:t>doi</w:t>
      </w:r>
      <w:proofErr w:type="spellEnd"/>
      <w:proofErr w:type="gramEnd"/>
      <w:r w:rsidRPr="00CE66BE">
        <w:rPr>
          <w:rFonts w:cstheme="minorHAnsi"/>
          <w:lang w:val="en-GB"/>
        </w:rPr>
        <w:t>: 10.1007/s12687-018-0367-3.</w:t>
      </w:r>
    </w:p>
    <w:p w14:paraId="25E5F3BC" w14:textId="77777777" w:rsidR="000A280A" w:rsidRPr="00CE66BE" w:rsidRDefault="000A280A" w:rsidP="000A280A">
      <w:pPr>
        <w:pStyle w:val="Paragrafoelenco"/>
        <w:spacing w:after="0" w:line="240" w:lineRule="auto"/>
        <w:rPr>
          <w:rFonts w:cstheme="minorHAnsi"/>
          <w:lang w:val="en-GB"/>
        </w:rPr>
      </w:pPr>
    </w:p>
    <w:p w14:paraId="01C4347D" w14:textId="77777777" w:rsidR="000A280A" w:rsidRPr="00CE66BE" w:rsidRDefault="000A280A" w:rsidP="000A280A">
      <w:pPr>
        <w:pStyle w:val="EndNoteBibliography"/>
        <w:numPr>
          <w:ilvl w:val="0"/>
          <w:numId w:val="18"/>
        </w:numPr>
        <w:contextualSpacing/>
        <w:jc w:val="left"/>
        <w:rPr>
          <w:rFonts w:asciiTheme="minorHAnsi" w:hAnsiTheme="minorHAnsi" w:cstheme="minorHAnsi"/>
        </w:rPr>
      </w:pPr>
      <w:r w:rsidRPr="00CE66BE">
        <w:rPr>
          <w:rFonts w:asciiTheme="minorHAnsi" w:hAnsiTheme="minorHAnsi" w:cstheme="minorHAnsi"/>
        </w:rPr>
        <w:t>Kinsner-Ovaskainen A, Lanzoni M, Garne E, et al., A sustainable solution for the activities of the European network for surveillance of congenital anomalies: EUROCAT as part of the EU Platform on Rare Diseases Registration. Europ J Med Genetics, 2018. 61(9): p. 513-517.</w:t>
      </w:r>
    </w:p>
    <w:p w14:paraId="5F1E53EF" w14:textId="77777777" w:rsidR="000A280A" w:rsidRPr="00CE66BE" w:rsidRDefault="000A280A" w:rsidP="000A280A">
      <w:pPr>
        <w:pStyle w:val="Paragrafoelenco"/>
        <w:rPr>
          <w:rFonts w:cstheme="minorHAnsi"/>
        </w:rPr>
      </w:pPr>
    </w:p>
    <w:p w14:paraId="2986DE55" w14:textId="77777777" w:rsidR="000A280A" w:rsidRPr="00CE66BE" w:rsidRDefault="000A280A" w:rsidP="000A280A">
      <w:pPr>
        <w:pStyle w:val="Paragrafoelenco"/>
        <w:numPr>
          <w:ilvl w:val="0"/>
          <w:numId w:val="18"/>
        </w:numPr>
        <w:spacing w:after="0" w:line="240" w:lineRule="auto"/>
        <w:rPr>
          <w:rFonts w:cstheme="minorHAnsi"/>
          <w:lang w:val="en-GB"/>
        </w:rPr>
      </w:pPr>
      <w:r w:rsidRPr="00CE66BE">
        <w:rPr>
          <w:rFonts w:cstheme="minorHAnsi"/>
          <w:lang w:val="en-GB"/>
        </w:rPr>
        <w:t xml:space="preserve">EUROCAT (2013). EUROCAT Guide 1.4: Instruction for the registration of congenital anomalies. EUROCAT Central Registry, University of Ulster. https://eu-rd-platform.jrc.ec.europa.eu/eurocat/data-collection/guidelines-for-data-registration_en#inline-nav-2. Accessed 10 February 2021 </w:t>
      </w:r>
    </w:p>
    <w:p w14:paraId="360C1994" w14:textId="77777777" w:rsidR="000A280A" w:rsidRPr="00CE66BE" w:rsidRDefault="000A280A" w:rsidP="000A280A">
      <w:pPr>
        <w:pStyle w:val="Paragrafoelenco"/>
        <w:spacing w:after="0" w:line="240" w:lineRule="auto"/>
        <w:rPr>
          <w:rFonts w:cstheme="minorHAnsi"/>
          <w:lang w:val="en-GB"/>
        </w:rPr>
      </w:pPr>
    </w:p>
    <w:p w14:paraId="093E0D2C" w14:textId="77777777" w:rsidR="000A280A" w:rsidRPr="00CE66BE" w:rsidRDefault="000A280A" w:rsidP="000A280A">
      <w:pPr>
        <w:pStyle w:val="Paragrafoelenco"/>
        <w:numPr>
          <w:ilvl w:val="0"/>
          <w:numId w:val="18"/>
        </w:numPr>
        <w:spacing w:after="0" w:line="240" w:lineRule="auto"/>
        <w:rPr>
          <w:rFonts w:cstheme="minorHAnsi"/>
          <w:lang w:val="en-GB"/>
        </w:rPr>
      </w:pPr>
      <w:r w:rsidRPr="00CE66BE">
        <w:rPr>
          <w:rFonts w:cstheme="minorHAnsi"/>
          <w:lang w:val="en-GB"/>
        </w:rPr>
        <w:t>Loane M, Given JE, Tan J, et al. (2021) Linking a European cohort of children born with congenital</w:t>
      </w:r>
    </w:p>
    <w:p w14:paraId="2C8C12A0" w14:textId="77777777" w:rsidR="000A280A" w:rsidRPr="00CE66BE" w:rsidRDefault="000A280A" w:rsidP="000A280A">
      <w:pPr>
        <w:pStyle w:val="Paragrafoelenco"/>
        <w:spacing w:after="0" w:line="240" w:lineRule="auto"/>
        <w:rPr>
          <w:rFonts w:cstheme="minorHAnsi"/>
        </w:rPr>
      </w:pPr>
      <w:proofErr w:type="gramStart"/>
      <w:r w:rsidRPr="00CE66BE">
        <w:rPr>
          <w:rFonts w:cstheme="minorHAnsi"/>
          <w:lang w:val="en-GB"/>
        </w:rPr>
        <w:t>anomalies</w:t>
      </w:r>
      <w:proofErr w:type="gramEnd"/>
      <w:r w:rsidRPr="00CE66BE">
        <w:rPr>
          <w:rFonts w:cstheme="minorHAnsi"/>
          <w:lang w:val="en-GB"/>
        </w:rPr>
        <w:t xml:space="preserve"> to vital statistics and mortality </w:t>
      </w:r>
      <w:proofErr w:type="spellStart"/>
      <w:r w:rsidRPr="00CE66BE">
        <w:rPr>
          <w:rFonts w:cstheme="minorHAnsi"/>
          <w:lang w:val="en-GB"/>
        </w:rPr>
        <w:t>records:A</w:t>
      </w:r>
      <w:proofErr w:type="spellEnd"/>
      <w:r w:rsidRPr="00CE66BE">
        <w:rPr>
          <w:rFonts w:cstheme="minorHAnsi"/>
          <w:lang w:val="en-GB"/>
        </w:rPr>
        <w:t xml:space="preserve"> </w:t>
      </w:r>
      <w:proofErr w:type="spellStart"/>
      <w:r w:rsidRPr="00CE66BE">
        <w:rPr>
          <w:rFonts w:cstheme="minorHAnsi"/>
          <w:lang w:val="en-GB"/>
        </w:rPr>
        <w:t>EUROlinkCAT</w:t>
      </w:r>
      <w:proofErr w:type="spellEnd"/>
      <w:r w:rsidRPr="00CE66BE">
        <w:rPr>
          <w:rFonts w:cstheme="minorHAnsi"/>
          <w:lang w:val="en-GB"/>
        </w:rPr>
        <w:t xml:space="preserve"> study. </w:t>
      </w:r>
      <w:proofErr w:type="spellStart"/>
      <w:r w:rsidRPr="00CE66BE">
        <w:rPr>
          <w:rFonts w:cstheme="minorHAnsi"/>
          <w:lang w:val="en-GB"/>
        </w:rPr>
        <w:t>PLoS</w:t>
      </w:r>
      <w:proofErr w:type="spellEnd"/>
      <w:r w:rsidRPr="00CE66BE">
        <w:rPr>
          <w:rFonts w:cstheme="minorHAnsi"/>
          <w:lang w:val="en-GB"/>
        </w:rPr>
        <w:t xml:space="preserve"> One. 2021 Aug 27 16(8): </w:t>
      </w:r>
      <w:r w:rsidRPr="00CE66BE">
        <w:rPr>
          <w:rFonts w:cstheme="minorHAnsi"/>
        </w:rPr>
        <w:t xml:space="preserve">e0256535. </w:t>
      </w:r>
      <w:hyperlink r:id="rId8" w:history="1">
        <w:r w:rsidRPr="00CE66BE">
          <w:rPr>
            <w:rStyle w:val="Collegamentoipertestuale"/>
            <w:rFonts w:cstheme="minorHAnsi"/>
          </w:rPr>
          <w:t>https://doi.org/10.1371/journal</w:t>
        </w:r>
      </w:hyperlink>
      <w:r w:rsidRPr="00CE66BE">
        <w:rPr>
          <w:rFonts w:cstheme="minorHAnsi"/>
        </w:rPr>
        <w:t>.pone.0256535</w:t>
      </w:r>
    </w:p>
    <w:p w14:paraId="14B33C19" w14:textId="77777777" w:rsidR="000A280A" w:rsidRPr="00CE66BE" w:rsidRDefault="000A280A" w:rsidP="000A280A">
      <w:pPr>
        <w:pStyle w:val="Paragrafoelenco"/>
        <w:spacing w:after="0" w:line="240" w:lineRule="auto"/>
        <w:rPr>
          <w:rFonts w:cstheme="minorHAnsi"/>
        </w:rPr>
      </w:pPr>
    </w:p>
    <w:p w14:paraId="3B1558DC" w14:textId="77777777" w:rsidR="000A280A" w:rsidRPr="00CE66BE" w:rsidRDefault="000A280A" w:rsidP="000A280A">
      <w:pPr>
        <w:pStyle w:val="Paragrafoelenco"/>
        <w:numPr>
          <w:ilvl w:val="0"/>
          <w:numId w:val="18"/>
        </w:numPr>
        <w:autoSpaceDE w:val="0"/>
        <w:autoSpaceDN w:val="0"/>
        <w:adjustRightInd w:val="0"/>
        <w:spacing w:after="0" w:line="240" w:lineRule="auto"/>
        <w:rPr>
          <w:rFonts w:cstheme="minorHAnsi"/>
          <w:lang w:val="en-GB"/>
        </w:rPr>
      </w:pPr>
      <w:r w:rsidRPr="00CE66BE">
        <w:rPr>
          <w:rFonts w:cstheme="minorHAnsi"/>
          <w:lang w:val="en-GB"/>
        </w:rPr>
        <w:lastRenderedPageBreak/>
        <w:t xml:space="preserve">Best, K. E., Rankin, J., </w:t>
      </w:r>
      <w:proofErr w:type="spellStart"/>
      <w:r w:rsidRPr="00CE66BE">
        <w:rPr>
          <w:rFonts w:cstheme="minorHAnsi"/>
          <w:lang w:val="en-GB"/>
        </w:rPr>
        <w:t>Dolk</w:t>
      </w:r>
      <w:proofErr w:type="spellEnd"/>
      <w:r w:rsidRPr="00CE66BE">
        <w:rPr>
          <w:rFonts w:cstheme="minorHAnsi"/>
          <w:lang w:val="en-GB"/>
        </w:rPr>
        <w:t xml:space="preserve">, H., et al. Multilevel analyses of related public health indicators: The European surveillance of congenital anomalies (EUROCAT) public health indicators </w:t>
      </w:r>
      <w:proofErr w:type="spellStart"/>
      <w:r w:rsidRPr="00CE66BE">
        <w:rPr>
          <w:rFonts w:cstheme="minorHAnsi"/>
          <w:lang w:val="en-GB"/>
        </w:rPr>
        <w:t>Paediatr</w:t>
      </w:r>
      <w:proofErr w:type="spellEnd"/>
      <w:r w:rsidRPr="00CE66BE">
        <w:rPr>
          <w:rFonts w:cstheme="minorHAnsi"/>
          <w:lang w:val="en-GB"/>
        </w:rPr>
        <w:t xml:space="preserve"> Perinat </w:t>
      </w:r>
      <w:proofErr w:type="spellStart"/>
      <w:r w:rsidRPr="00CE66BE">
        <w:rPr>
          <w:rFonts w:cstheme="minorHAnsi"/>
          <w:lang w:val="en-GB"/>
        </w:rPr>
        <w:t>Epidemiol</w:t>
      </w:r>
      <w:proofErr w:type="spellEnd"/>
      <w:r w:rsidRPr="00CE66BE">
        <w:rPr>
          <w:rFonts w:cstheme="minorHAnsi"/>
          <w:lang w:val="en-GB"/>
        </w:rPr>
        <w:t>. 2020 Mar</w:t>
      </w:r>
      <w:proofErr w:type="gramStart"/>
      <w:r w:rsidRPr="00CE66BE">
        <w:rPr>
          <w:rFonts w:cstheme="minorHAnsi"/>
          <w:lang w:val="en-GB"/>
        </w:rPr>
        <w:t>;34</w:t>
      </w:r>
      <w:proofErr w:type="gramEnd"/>
      <w:r w:rsidRPr="00CE66BE">
        <w:rPr>
          <w:rFonts w:cstheme="minorHAnsi"/>
          <w:lang w:val="en-GB"/>
        </w:rPr>
        <w:t xml:space="preserve">(2):122-129. </w:t>
      </w:r>
      <w:proofErr w:type="spellStart"/>
      <w:proofErr w:type="gramStart"/>
      <w:r w:rsidRPr="00CE66BE">
        <w:rPr>
          <w:rFonts w:cstheme="minorHAnsi"/>
          <w:lang w:val="en-GB"/>
        </w:rPr>
        <w:t>doi</w:t>
      </w:r>
      <w:proofErr w:type="spellEnd"/>
      <w:proofErr w:type="gramEnd"/>
      <w:r w:rsidRPr="00CE66BE">
        <w:rPr>
          <w:rFonts w:cstheme="minorHAnsi"/>
          <w:lang w:val="en-GB"/>
        </w:rPr>
        <w:t>: 10.1111/ppe.12655.</w:t>
      </w:r>
    </w:p>
    <w:p w14:paraId="3CFEB83A" w14:textId="77777777" w:rsidR="000A280A" w:rsidRPr="00CE66BE" w:rsidRDefault="000A280A" w:rsidP="000A280A">
      <w:pPr>
        <w:autoSpaceDE w:val="0"/>
        <w:autoSpaceDN w:val="0"/>
        <w:adjustRightInd w:val="0"/>
        <w:spacing w:after="0" w:line="240" w:lineRule="auto"/>
        <w:contextualSpacing/>
        <w:rPr>
          <w:rFonts w:cstheme="minorHAnsi"/>
          <w:lang w:val="en-GB"/>
        </w:rPr>
      </w:pPr>
    </w:p>
    <w:p w14:paraId="12EE6DC7" w14:textId="77777777" w:rsidR="000A280A" w:rsidRPr="00CE66BE" w:rsidRDefault="000A280A" w:rsidP="000A280A">
      <w:pPr>
        <w:pStyle w:val="Paragrafoelenco"/>
        <w:numPr>
          <w:ilvl w:val="0"/>
          <w:numId w:val="18"/>
        </w:numPr>
        <w:spacing w:after="0" w:line="240" w:lineRule="auto"/>
        <w:rPr>
          <w:rFonts w:cstheme="minorHAnsi"/>
          <w:lang w:val="en-GB"/>
        </w:rPr>
      </w:pPr>
      <w:r w:rsidRPr="00CE66BE">
        <w:rPr>
          <w:rFonts w:cstheme="minorHAnsi"/>
        </w:rPr>
        <w:t xml:space="preserve">EUROCAT </w:t>
      </w:r>
      <w:proofErr w:type="spellStart"/>
      <w:r w:rsidRPr="00CE66BE">
        <w:rPr>
          <w:rFonts w:cstheme="minorHAnsi"/>
        </w:rPr>
        <w:t>prevalence</w:t>
      </w:r>
      <w:proofErr w:type="spellEnd"/>
      <w:r w:rsidRPr="00CE66BE">
        <w:rPr>
          <w:rFonts w:cstheme="minorHAnsi"/>
        </w:rPr>
        <w:t xml:space="preserve">: https://eu-rd-platform.jrc.ec.europa.eu/eurocat/eurocat-data/prevalence_en. </w:t>
      </w:r>
      <w:r w:rsidRPr="00CE66BE">
        <w:rPr>
          <w:rFonts w:cstheme="minorHAnsi"/>
          <w:lang w:val="en-GB"/>
        </w:rPr>
        <w:t>Accessed 21 March 2021</w:t>
      </w:r>
    </w:p>
    <w:p w14:paraId="5FF62390" w14:textId="77777777" w:rsidR="000A280A" w:rsidRPr="00CE66BE" w:rsidRDefault="000A280A" w:rsidP="000A280A">
      <w:pPr>
        <w:pStyle w:val="Paragrafoelenco"/>
        <w:spacing w:after="0" w:line="240" w:lineRule="auto"/>
        <w:rPr>
          <w:rFonts w:cstheme="minorHAnsi"/>
          <w:lang w:val="en-GB"/>
        </w:rPr>
      </w:pPr>
    </w:p>
    <w:p w14:paraId="00BF34F7" w14:textId="77777777" w:rsidR="000A280A" w:rsidRPr="00CE66BE" w:rsidRDefault="000A280A" w:rsidP="000A280A">
      <w:pPr>
        <w:pStyle w:val="Paragrafoelenco"/>
        <w:numPr>
          <w:ilvl w:val="0"/>
          <w:numId w:val="18"/>
        </w:numPr>
        <w:spacing w:after="0" w:line="240" w:lineRule="auto"/>
        <w:rPr>
          <w:rFonts w:cstheme="minorHAnsi"/>
          <w:lang w:val="en-GB"/>
        </w:rPr>
      </w:pPr>
      <w:proofErr w:type="spellStart"/>
      <w:r w:rsidRPr="00CE66BE">
        <w:rPr>
          <w:rFonts w:cstheme="minorHAnsi"/>
          <w:lang w:val="en-GB"/>
        </w:rPr>
        <w:t>Toxværd</w:t>
      </w:r>
      <w:proofErr w:type="spellEnd"/>
      <w:r w:rsidRPr="00CE66BE">
        <w:rPr>
          <w:rFonts w:cstheme="minorHAnsi"/>
          <w:lang w:val="en-GB"/>
        </w:rPr>
        <w:t xml:space="preserve"> </w:t>
      </w:r>
      <w:proofErr w:type="gramStart"/>
      <w:r w:rsidRPr="00CE66BE">
        <w:rPr>
          <w:rFonts w:cstheme="minorHAnsi"/>
          <w:lang w:val="en-GB"/>
        </w:rPr>
        <w:t>ME</w:t>
      </w:r>
      <w:proofErr w:type="gramEnd"/>
      <w:r w:rsidRPr="00CE66BE">
        <w:rPr>
          <w:rFonts w:cstheme="minorHAnsi"/>
          <w:lang w:val="en-GB"/>
        </w:rPr>
        <w:t xml:space="preserve"> and Garne E. Epidemiology of Multiple Congenital Anomalies Before and After Implementation of a Nationwide Prenatal Screening Program in Denmark. Front. </w:t>
      </w:r>
      <w:proofErr w:type="spellStart"/>
      <w:r w:rsidRPr="00CE66BE">
        <w:rPr>
          <w:rFonts w:cstheme="minorHAnsi"/>
          <w:lang w:val="en-GB"/>
        </w:rPr>
        <w:t>Pediatr</w:t>
      </w:r>
      <w:proofErr w:type="spellEnd"/>
      <w:r w:rsidRPr="00CE66BE">
        <w:rPr>
          <w:rFonts w:cstheme="minorHAnsi"/>
          <w:lang w:val="en-GB"/>
        </w:rPr>
        <w:t xml:space="preserve">. (2021) 9:614864. </w:t>
      </w:r>
      <w:proofErr w:type="spellStart"/>
      <w:r w:rsidRPr="00CE66BE">
        <w:rPr>
          <w:rFonts w:cstheme="minorHAnsi"/>
          <w:lang w:val="en-GB"/>
        </w:rPr>
        <w:t>doi</w:t>
      </w:r>
      <w:proofErr w:type="spellEnd"/>
      <w:r w:rsidRPr="00CE66BE">
        <w:rPr>
          <w:rFonts w:cstheme="minorHAnsi"/>
          <w:lang w:val="en-GB"/>
        </w:rPr>
        <w:t>: 10.3389/fped.2021.614864</w:t>
      </w:r>
    </w:p>
    <w:p w14:paraId="425F9F8D" w14:textId="77777777" w:rsidR="000A280A" w:rsidRPr="00CE66BE" w:rsidRDefault="000A280A" w:rsidP="000A280A">
      <w:pPr>
        <w:pStyle w:val="Paragrafoelenco"/>
        <w:spacing w:after="0" w:line="240" w:lineRule="auto"/>
        <w:rPr>
          <w:rFonts w:cstheme="minorHAnsi"/>
          <w:lang w:val="en-GB"/>
        </w:rPr>
      </w:pPr>
    </w:p>
    <w:p w14:paraId="6978CA6C" w14:textId="7D0E4E55" w:rsidR="000A280A" w:rsidRDefault="000A280A" w:rsidP="000A280A">
      <w:pPr>
        <w:pStyle w:val="Paragrafoelenco"/>
        <w:numPr>
          <w:ilvl w:val="0"/>
          <w:numId w:val="18"/>
        </w:numPr>
        <w:spacing w:after="0" w:line="240" w:lineRule="auto"/>
        <w:rPr>
          <w:rFonts w:cstheme="minorHAnsi"/>
          <w:lang w:val="en-GB"/>
        </w:rPr>
      </w:pPr>
      <w:r w:rsidRPr="00CE66BE">
        <w:rPr>
          <w:rFonts w:cstheme="minorHAnsi"/>
          <w:lang w:val="en-GB"/>
        </w:rPr>
        <w:t xml:space="preserve">Garne E, Hansen AV, </w:t>
      </w:r>
      <w:proofErr w:type="spellStart"/>
      <w:r w:rsidRPr="00CE66BE">
        <w:rPr>
          <w:rFonts w:cstheme="minorHAnsi"/>
          <w:lang w:val="en-GB"/>
        </w:rPr>
        <w:t>Birkelund</w:t>
      </w:r>
      <w:proofErr w:type="spellEnd"/>
      <w:r w:rsidRPr="00CE66BE">
        <w:rPr>
          <w:rFonts w:cstheme="minorHAnsi"/>
          <w:lang w:val="en-GB"/>
        </w:rPr>
        <w:t xml:space="preserve"> AS, Andersen AM. Major congenital anomalies in a Danish region. Dan Med J. 2014 Jun</w:t>
      </w:r>
      <w:proofErr w:type="gramStart"/>
      <w:r w:rsidRPr="00CE66BE">
        <w:rPr>
          <w:rFonts w:cstheme="minorHAnsi"/>
          <w:lang w:val="en-GB"/>
        </w:rPr>
        <w:t>;61</w:t>
      </w:r>
      <w:proofErr w:type="gramEnd"/>
      <w:r w:rsidRPr="00CE66BE">
        <w:rPr>
          <w:rFonts w:cstheme="minorHAnsi"/>
          <w:lang w:val="en-GB"/>
        </w:rPr>
        <w:t>(6):A4825.</w:t>
      </w:r>
    </w:p>
    <w:p w14:paraId="28E002C0" w14:textId="77777777" w:rsidR="00331079" w:rsidRDefault="00331079" w:rsidP="00331079">
      <w:pPr>
        <w:pStyle w:val="Paragrafoelenco"/>
        <w:spacing w:after="0" w:line="240" w:lineRule="auto"/>
        <w:rPr>
          <w:rFonts w:cstheme="minorHAnsi"/>
          <w:lang w:val="en-GB"/>
        </w:rPr>
      </w:pPr>
    </w:p>
    <w:p w14:paraId="6EA7302A" w14:textId="7338FC55" w:rsidR="00331079" w:rsidRPr="00E214D3" w:rsidRDefault="00331079" w:rsidP="00331079">
      <w:pPr>
        <w:pStyle w:val="Testocommento"/>
        <w:numPr>
          <w:ilvl w:val="0"/>
          <w:numId w:val="18"/>
        </w:numPr>
        <w:rPr>
          <w:sz w:val="22"/>
          <w:szCs w:val="22"/>
          <w:lang w:val="en-GB"/>
        </w:rPr>
      </w:pPr>
      <w:proofErr w:type="spellStart"/>
      <w:r w:rsidRPr="00181AC1">
        <w:rPr>
          <w:sz w:val="22"/>
          <w:szCs w:val="22"/>
          <w:lang w:val="en-GB"/>
        </w:rPr>
        <w:t>Bardi</w:t>
      </w:r>
      <w:proofErr w:type="spellEnd"/>
      <w:r w:rsidRPr="00181AC1">
        <w:rPr>
          <w:sz w:val="22"/>
          <w:szCs w:val="22"/>
          <w:lang w:val="en-GB"/>
        </w:rPr>
        <w:t xml:space="preserve"> F, Bergman JEH, </w:t>
      </w:r>
      <w:proofErr w:type="spellStart"/>
      <w:r w:rsidRPr="00181AC1">
        <w:rPr>
          <w:sz w:val="22"/>
          <w:szCs w:val="22"/>
          <w:lang w:val="en-GB"/>
        </w:rPr>
        <w:t>Bouman</w:t>
      </w:r>
      <w:proofErr w:type="spellEnd"/>
      <w:r w:rsidRPr="00181AC1">
        <w:rPr>
          <w:sz w:val="22"/>
          <w:szCs w:val="22"/>
          <w:lang w:val="en-GB"/>
        </w:rPr>
        <w:t xml:space="preserve"> K, et al. Effect of prenatal screening on trends in perinatal mortality associated with congenital anomalies before and after the introduction of prenatal screening: A population-based study in the Northern Netherlands. </w:t>
      </w:r>
      <w:proofErr w:type="spellStart"/>
      <w:r w:rsidRPr="00E214D3">
        <w:rPr>
          <w:sz w:val="22"/>
          <w:szCs w:val="22"/>
          <w:lang w:val="en-GB"/>
        </w:rPr>
        <w:t>Paediatr</w:t>
      </w:r>
      <w:proofErr w:type="spellEnd"/>
      <w:r w:rsidRPr="00E214D3">
        <w:rPr>
          <w:sz w:val="22"/>
          <w:szCs w:val="22"/>
          <w:lang w:val="en-GB"/>
        </w:rPr>
        <w:t xml:space="preserve"> Perinat </w:t>
      </w:r>
      <w:proofErr w:type="spellStart"/>
      <w:r w:rsidRPr="00E214D3">
        <w:rPr>
          <w:sz w:val="22"/>
          <w:szCs w:val="22"/>
          <w:lang w:val="en-GB"/>
        </w:rPr>
        <w:t>Epidemiol</w:t>
      </w:r>
      <w:proofErr w:type="spellEnd"/>
      <w:r w:rsidRPr="00E214D3">
        <w:rPr>
          <w:sz w:val="22"/>
          <w:szCs w:val="22"/>
          <w:lang w:val="en-GB"/>
        </w:rPr>
        <w:t>. 2021 Nov</w:t>
      </w:r>
      <w:proofErr w:type="gramStart"/>
      <w:r w:rsidRPr="00E214D3">
        <w:rPr>
          <w:sz w:val="22"/>
          <w:szCs w:val="22"/>
          <w:lang w:val="en-GB"/>
        </w:rPr>
        <w:t>;35</w:t>
      </w:r>
      <w:proofErr w:type="gramEnd"/>
      <w:r w:rsidRPr="00E214D3">
        <w:rPr>
          <w:sz w:val="22"/>
          <w:szCs w:val="22"/>
          <w:lang w:val="en-GB"/>
        </w:rPr>
        <w:t xml:space="preserve">(6):654-663. </w:t>
      </w:r>
      <w:proofErr w:type="spellStart"/>
      <w:proofErr w:type="gramStart"/>
      <w:r w:rsidRPr="00E214D3">
        <w:rPr>
          <w:sz w:val="22"/>
          <w:szCs w:val="22"/>
          <w:lang w:val="en-GB"/>
        </w:rPr>
        <w:t>doi</w:t>
      </w:r>
      <w:proofErr w:type="spellEnd"/>
      <w:proofErr w:type="gramEnd"/>
      <w:r w:rsidRPr="00E214D3">
        <w:rPr>
          <w:sz w:val="22"/>
          <w:szCs w:val="22"/>
          <w:lang w:val="en-GB"/>
        </w:rPr>
        <w:t>: 10.1111/ppe.12792.</w:t>
      </w:r>
    </w:p>
    <w:p w14:paraId="59FA939C" w14:textId="77777777" w:rsidR="000A280A" w:rsidRPr="00CE66BE" w:rsidRDefault="000A280A" w:rsidP="000A280A">
      <w:pPr>
        <w:pStyle w:val="Paragrafoelenco"/>
        <w:spacing w:after="0" w:line="240" w:lineRule="auto"/>
        <w:rPr>
          <w:rFonts w:cstheme="minorHAnsi"/>
          <w:lang w:val="en-GB"/>
        </w:rPr>
      </w:pPr>
    </w:p>
    <w:p w14:paraId="7CFDA39B" w14:textId="77777777" w:rsidR="000A280A" w:rsidRPr="00CE66BE" w:rsidRDefault="000A280A" w:rsidP="000A280A">
      <w:pPr>
        <w:pStyle w:val="Paragrafoelenco"/>
        <w:numPr>
          <w:ilvl w:val="0"/>
          <w:numId w:val="18"/>
        </w:numPr>
        <w:autoSpaceDE w:val="0"/>
        <w:autoSpaceDN w:val="0"/>
        <w:adjustRightInd w:val="0"/>
        <w:spacing w:after="0" w:line="240" w:lineRule="auto"/>
        <w:rPr>
          <w:rFonts w:cstheme="minorHAnsi"/>
          <w:lang w:val="en-GB"/>
        </w:rPr>
      </w:pPr>
      <w:proofErr w:type="spellStart"/>
      <w:r w:rsidRPr="00C0667E">
        <w:rPr>
          <w:rFonts w:cstheme="minorHAnsi"/>
        </w:rPr>
        <w:t>Eurostat</w:t>
      </w:r>
      <w:proofErr w:type="spellEnd"/>
      <w:r w:rsidRPr="00C0667E">
        <w:rPr>
          <w:rFonts w:cstheme="minorHAnsi"/>
        </w:rPr>
        <w:t xml:space="preserve"> - https://ec.europa.eu/eurostat/web/products-datasets/. </w:t>
      </w:r>
      <w:r w:rsidRPr="00CE66BE">
        <w:rPr>
          <w:rFonts w:cstheme="minorHAnsi"/>
          <w:lang w:val="en-GB"/>
        </w:rPr>
        <w:t>Accessed 29 March 2021</w:t>
      </w:r>
    </w:p>
    <w:p w14:paraId="297A6CA4" w14:textId="77777777" w:rsidR="000A280A" w:rsidRPr="00CE66BE" w:rsidRDefault="000A280A" w:rsidP="000A280A">
      <w:pPr>
        <w:pStyle w:val="Paragrafoelenco"/>
        <w:autoSpaceDE w:val="0"/>
        <w:autoSpaceDN w:val="0"/>
        <w:adjustRightInd w:val="0"/>
        <w:spacing w:after="0" w:line="240" w:lineRule="auto"/>
        <w:rPr>
          <w:rFonts w:cstheme="minorHAnsi"/>
          <w:lang w:val="en-GB"/>
        </w:rPr>
      </w:pPr>
    </w:p>
    <w:p w14:paraId="58A6A8D1" w14:textId="47D8F418" w:rsidR="000A280A" w:rsidRDefault="000A280A" w:rsidP="000A280A">
      <w:pPr>
        <w:pStyle w:val="Paragrafoelenco"/>
        <w:numPr>
          <w:ilvl w:val="0"/>
          <w:numId w:val="18"/>
        </w:numPr>
        <w:autoSpaceDE w:val="0"/>
        <w:autoSpaceDN w:val="0"/>
        <w:adjustRightInd w:val="0"/>
        <w:spacing w:after="0" w:line="240" w:lineRule="auto"/>
        <w:rPr>
          <w:rFonts w:cstheme="minorHAnsi"/>
          <w:lang w:val="en-GB"/>
        </w:rPr>
      </w:pPr>
      <w:r w:rsidRPr="00CE66BE">
        <w:rPr>
          <w:rFonts w:cstheme="minorHAnsi"/>
          <w:lang w:val="en-GB"/>
        </w:rPr>
        <w:t>United Nations Inter-agency Group for Child Mortality Estimation (UN IGME), ‘Levels &amp; Trends in Child Mortality: Report 2020, Estimates developed by the United Nations Inter-agency Group for Child Mortality Estimation’, United Nations Children’s Fund, New York, 2020.</w:t>
      </w:r>
    </w:p>
    <w:p w14:paraId="69191236" w14:textId="77777777" w:rsidR="006C1BB4" w:rsidRDefault="006C1BB4" w:rsidP="006C1BB4">
      <w:pPr>
        <w:pStyle w:val="Paragrafoelenco"/>
        <w:autoSpaceDE w:val="0"/>
        <w:autoSpaceDN w:val="0"/>
        <w:adjustRightInd w:val="0"/>
        <w:spacing w:after="0" w:line="240" w:lineRule="auto"/>
        <w:rPr>
          <w:rFonts w:cstheme="minorHAnsi"/>
          <w:lang w:val="en-GB"/>
        </w:rPr>
      </w:pPr>
    </w:p>
    <w:p w14:paraId="27662571" w14:textId="6AE031CC" w:rsidR="006C1BB4" w:rsidRPr="006C1BB4" w:rsidRDefault="006C1BB4" w:rsidP="006C1BB4">
      <w:pPr>
        <w:pStyle w:val="Paragrafoelenco"/>
        <w:numPr>
          <w:ilvl w:val="0"/>
          <w:numId w:val="18"/>
        </w:numPr>
        <w:rPr>
          <w:rFonts w:cstheme="minorHAnsi"/>
          <w:b/>
          <w:bCs/>
        </w:rPr>
      </w:pPr>
      <w:r w:rsidRPr="00181AC1">
        <w:t xml:space="preserve">Glinianaia SV, Rankin J, Pierini A, at al. </w:t>
      </w:r>
      <w:r w:rsidRPr="006C1BB4">
        <w:rPr>
          <w:lang w:val="en-GB"/>
        </w:rPr>
        <w:t xml:space="preserve">Ten-Year Survival of Children </w:t>
      </w:r>
      <w:proofErr w:type="gramStart"/>
      <w:r w:rsidRPr="006C1BB4">
        <w:rPr>
          <w:lang w:val="en-GB"/>
        </w:rPr>
        <w:t>With</w:t>
      </w:r>
      <w:proofErr w:type="gramEnd"/>
      <w:r w:rsidRPr="006C1BB4">
        <w:rPr>
          <w:lang w:val="en-GB"/>
        </w:rPr>
        <w:t xml:space="preserve"> Congenital Anomalies: A European Cohort Study. </w:t>
      </w:r>
      <w:proofErr w:type="spellStart"/>
      <w:r w:rsidRPr="00192454">
        <w:t>Pediatrics</w:t>
      </w:r>
      <w:proofErr w:type="spellEnd"/>
      <w:r w:rsidRPr="00192454">
        <w:t>. 2022 Mar 1;149(3</w:t>
      </w:r>
      <w:proofErr w:type="gramStart"/>
      <w:r w:rsidRPr="00192454">
        <w:t>):e</w:t>
      </w:r>
      <w:proofErr w:type="gramEnd"/>
      <w:r w:rsidRPr="00192454">
        <w:t xml:space="preserve">2021053793. </w:t>
      </w:r>
      <w:proofErr w:type="spellStart"/>
      <w:r w:rsidRPr="00192454">
        <w:t>doi</w:t>
      </w:r>
      <w:proofErr w:type="spellEnd"/>
      <w:r w:rsidRPr="00192454">
        <w:t>: 10.1542/peds.2021-053793.</w:t>
      </w:r>
    </w:p>
    <w:p w14:paraId="35E342C4" w14:textId="77777777" w:rsidR="006C1BB4" w:rsidRPr="006C1BB4" w:rsidRDefault="006C1BB4" w:rsidP="006C1BB4">
      <w:pPr>
        <w:pStyle w:val="Paragrafoelenco"/>
        <w:rPr>
          <w:rFonts w:cstheme="minorHAnsi"/>
          <w:b/>
          <w:bCs/>
        </w:rPr>
      </w:pPr>
    </w:p>
    <w:p w14:paraId="3FE6C12F" w14:textId="3D4395D1" w:rsidR="006C1BB4" w:rsidRPr="00CE66BE" w:rsidRDefault="006C1BB4" w:rsidP="000A280A">
      <w:pPr>
        <w:pStyle w:val="Paragrafoelenco"/>
        <w:numPr>
          <w:ilvl w:val="0"/>
          <w:numId w:val="18"/>
        </w:numPr>
        <w:autoSpaceDE w:val="0"/>
        <w:autoSpaceDN w:val="0"/>
        <w:adjustRightInd w:val="0"/>
        <w:spacing w:after="0" w:line="240" w:lineRule="auto"/>
        <w:rPr>
          <w:rFonts w:cstheme="minorHAnsi"/>
          <w:lang w:val="en-GB"/>
        </w:rPr>
      </w:pPr>
      <w:r w:rsidRPr="008D34C2">
        <w:rPr>
          <w:rFonts w:cstheme="minorHAnsi"/>
          <w:bCs/>
        </w:rPr>
        <w:t>Coi A, Santoro M, Pierini A</w:t>
      </w:r>
      <w:r>
        <w:rPr>
          <w:rFonts w:cstheme="minorHAnsi"/>
          <w:bCs/>
        </w:rPr>
        <w:t xml:space="preserve">, et al. </w:t>
      </w:r>
      <w:r w:rsidRPr="00181AC1">
        <w:rPr>
          <w:lang w:val="en-GB"/>
        </w:rPr>
        <w:t>Survival of children with rare structural congenital anomalies: a multi-registry cohort study</w:t>
      </w:r>
      <w:r>
        <w:rPr>
          <w:lang w:val="en-GB"/>
        </w:rPr>
        <w:t>.</w:t>
      </w:r>
      <w:r w:rsidRPr="00181AC1">
        <w:rPr>
          <w:lang w:val="en-GB"/>
        </w:rPr>
        <w:t xml:space="preserve"> Orphanet Journal of Rare Diseases</w:t>
      </w:r>
      <w:r>
        <w:rPr>
          <w:lang w:val="en-GB"/>
        </w:rPr>
        <w:t xml:space="preserve">. 2022. </w:t>
      </w:r>
      <w:proofErr w:type="spellStart"/>
      <w:proofErr w:type="gramStart"/>
      <w:r>
        <w:rPr>
          <w:lang w:val="en-GB"/>
        </w:rPr>
        <w:t>doi</w:t>
      </w:r>
      <w:proofErr w:type="spellEnd"/>
      <w:proofErr w:type="gramEnd"/>
      <w:r>
        <w:rPr>
          <w:lang w:val="en-GB"/>
        </w:rPr>
        <w:t xml:space="preserve">: </w:t>
      </w:r>
      <w:r w:rsidRPr="00A02DBF">
        <w:rPr>
          <w:rFonts w:eastAsia="Times New Roman"/>
          <w:lang w:val="en-GB"/>
        </w:rPr>
        <w:t>10.1186/s13023-022-02292-y</w:t>
      </w:r>
      <w:r>
        <w:rPr>
          <w:lang w:val="en-GB"/>
        </w:rPr>
        <w:t xml:space="preserve"> (in press)</w:t>
      </w:r>
      <w:r w:rsidRPr="00181AC1">
        <w:rPr>
          <w:rFonts w:cstheme="minorHAnsi"/>
          <w:bCs/>
          <w:lang w:val="en-GB"/>
        </w:rPr>
        <w:t>.</w:t>
      </w:r>
    </w:p>
    <w:p w14:paraId="0CA74095" w14:textId="77777777" w:rsidR="000A280A" w:rsidRPr="00CE66BE" w:rsidRDefault="000A280A" w:rsidP="000A280A">
      <w:pPr>
        <w:pStyle w:val="Paragrafoelenco"/>
        <w:rPr>
          <w:rFonts w:cstheme="minorHAnsi"/>
          <w:lang w:val="en-GB"/>
        </w:rPr>
      </w:pPr>
    </w:p>
    <w:p w14:paraId="076541C4" w14:textId="77777777" w:rsidR="000A280A" w:rsidRPr="00CE66BE" w:rsidRDefault="000A280A" w:rsidP="000A280A">
      <w:pPr>
        <w:pStyle w:val="Paragrafoelenco"/>
        <w:numPr>
          <w:ilvl w:val="0"/>
          <w:numId w:val="18"/>
        </w:numPr>
        <w:autoSpaceDE w:val="0"/>
        <w:autoSpaceDN w:val="0"/>
        <w:adjustRightInd w:val="0"/>
        <w:spacing w:after="0" w:line="240" w:lineRule="auto"/>
        <w:rPr>
          <w:rFonts w:cstheme="minorHAnsi"/>
          <w:lang w:val="en-GB"/>
        </w:rPr>
      </w:pPr>
      <w:r w:rsidRPr="00CE66BE">
        <w:rPr>
          <w:rFonts w:cstheme="minorHAnsi"/>
          <w:lang w:val="en-GB"/>
        </w:rPr>
        <w:t xml:space="preserve">Best KE, Vieira R, Glinianaia SV, Rankin J. Socio-economic inequalities in mortality in children with congenital heart disease: A systematic review and meta-analysis. </w:t>
      </w:r>
      <w:proofErr w:type="spellStart"/>
      <w:r w:rsidRPr="00CE66BE">
        <w:rPr>
          <w:rFonts w:cstheme="minorHAnsi"/>
          <w:lang w:val="en-GB"/>
        </w:rPr>
        <w:t>Paediatr</w:t>
      </w:r>
      <w:proofErr w:type="spellEnd"/>
      <w:r w:rsidRPr="00CE66BE">
        <w:rPr>
          <w:rFonts w:cstheme="minorHAnsi"/>
          <w:lang w:val="en-GB"/>
        </w:rPr>
        <w:t xml:space="preserve"> Perinat </w:t>
      </w:r>
      <w:proofErr w:type="spellStart"/>
      <w:r w:rsidRPr="00CE66BE">
        <w:rPr>
          <w:rFonts w:cstheme="minorHAnsi"/>
          <w:lang w:val="en-GB"/>
        </w:rPr>
        <w:t>Epidemiol</w:t>
      </w:r>
      <w:proofErr w:type="spellEnd"/>
      <w:r w:rsidRPr="00CE66BE">
        <w:rPr>
          <w:rFonts w:cstheme="minorHAnsi"/>
          <w:lang w:val="en-GB"/>
        </w:rPr>
        <w:t>. 2019 Jul</w:t>
      </w:r>
      <w:proofErr w:type="gramStart"/>
      <w:r w:rsidRPr="00CE66BE">
        <w:rPr>
          <w:rFonts w:cstheme="minorHAnsi"/>
          <w:lang w:val="en-GB"/>
        </w:rPr>
        <w:t>;33</w:t>
      </w:r>
      <w:proofErr w:type="gramEnd"/>
      <w:r w:rsidRPr="00CE66BE">
        <w:rPr>
          <w:rFonts w:cstheme="minorHAnsi"/>
          <w:lang w:val="en-GB"/>
        </w:rPr>
        <w:t xml:space="preserve">(4):291-309. </w:t>
      </w:r>
      <w:proofErr w:type="spellStart"/>
      <w:proofErr w:type="gramStart"/>
      <w:r w:rsidRPr="00CE66BE">
        <w:rPr>
          <w:rFonts w:cstheme="minorHAnsi"/>
          <w:lang w:val="en-GB"/>
        </w:rPr>
        <w:t>doi</w:t>
      </w:r>
      <w:proofErr w:type="spellEnd"/>
      <w:proofErr w:type="gramEnd"/>
      <w:r w:rsidRPr="00CE66BE">
        <w:rPr>
          <w:rFonts w:cstheme="minorHAnsi"/>
          <w:lang w:val="en-GB"/>
        </w:rPr>
        <w:t>: 10.1111/ppe.12564.</w:t>
      </w:r>
    </w:p>
    <w:p w14:paraId="5298A111" w14:textId="77777777" w:rsidR="000A280A" w:rsidRPr="00CE66BE" w:rsidRDefault="000A280A" w:rsidP="000A280A">
      <w:pPr>
        <w:pStyle w:val="Paragrafoelenco"/>
        <w:rPr>
          <w:rFonts w:cstheme="minorHAnsi"/>
          <w:lang w:val="en-GB"/>
        </w:rPr>
      </w:pPr>
    </w:p>
    <w:p w14:paraId="4467F11A" w14:textId="77777777" w:rsidR="000A280A" w:rsidRPr="00CE66BE" w:rsidRDefault="000A280A" w:rsidP="000A280A">
      <w:pPr>
        <w:pStyle w:val="Paragrafoelenco"/>
        <w:numPr>
          <w:ilvl w:val="0"/>
          <w:numId w:val="18"/>
        </w:numPr>
        <w:autoSpaceDE w:val="0"/>
        <w:autoSpaceDN w:val="0"/>
        <w:adjustRightInd w:val="0"/>
        <w:spacing w:after="0" w:line="240" w:lineRule="auto"/>
        <w:rPr>
          <w:rFonts w:cstheme="minorHAnsi"/>
          <w:lang w:val="en-GB"/>
        </w:rPr>
      </w:pPr>
      <w:r w:rsidRPr="00CE66BE">
        <w:rPr>
          <w:rFonts w:cstheme="minorHAnsi"/>
          <w:lang w:val="en-GB"/>
        </w:rPr>
        <w:t xml:space="preserve">Kim D, </w:t>
      </w:r>
      <w:proofErr w:type="spellStart"/>
      <w:r w:rsidRPr="00CE66BE">
        <w:rPr>
          <w:rFonts w:cstheme="minorHAnsi"/>
          <w:lang w:val="en-GB"/>
        </w:rPr>
        <w:t>Saada</w:t>
      </w:r>
      <w:proofErr w:type="spellEnd"/>
      <w:r w:rsidRPr="00CE66BE">
        <w:rPr>
          <w:rFonts w:cstheme="minorHAnsi"/>
          <w:lang w:val="en-GB"/>
        </w:rPr>
        <w:t xml:space="preserve"> A. The social determinants of infant mortality and birth outcomes in Western developed nations: a cross-country systematic review. </w:t>
      </w:r>
      <w:proofErr w:type="spellStart"/>
      <w:r w:rsidRPr="00CE66BE">
        <w:rPr>
          <w:rFonts w:cstheme="minorHAnsi"/>
          <w:lang w:val="en-GB"/>
        </w:rPr>
        <w:t>Int</w:t>
      </w:r>
      <w:proofErr w:type="spellEnd"/>
      <w:r w:rsidRPr="00CE66BE">
        <w:rPr>
          <w:rFonts w:cstheme="minorHAnsi"/>
          <w:lang w:val="en-GB"/>
        </w:rPr>
        <w:t xml:space="preserve"> J Environ Res Public Health. 2013</w:t>
      </w:r>
      <w:proofErr w:type="gramStart"/>
      <w:r w:rsidRPr="00CE66BE">
        <w:rPr>
          <w:rFonts w:cstheme="minorHAnsi"/>
          <w:lang w:val="en-GB"/>
        </w:rPr>
        <w:t>;10</w:t>
      </w:r>
      <w:proofErr w:type="gramEnd"/>
      <w:r w:rsidRPr="00CE66BE">
        <w:rPr>
          <w:rFonts w:cstheme="minorHAnsi"/>
          <w:lang w:val="en-GB"/>
        </w:rPr>
        <w:t xml:space="preserve">(6):2296-2335. </w:t>
      </w:r>
      <w:proofErr w:type="spellStart"/>
      <w:r w:rsidRPr="00CE66BE">
        <w:rPr>
          <w:rFonts w:cstheme="minorHAnsi"/>
          <w:lang w:val="en-GB"/>
        </w:rPr>
        <w:t>doi</w:t>
      </w:r>
      <w:proofErr w:type="spellEnd"/>
      <w:r w:rsidRPr="00CE66BE">
        <w:rPr>
          <w:rFonts w:cstheme="minorHAnsi"/>
          <w:lang w:val="en-GB"/>
        </w:rPr>
        <w:t>: 10.3390/ijerph10062296</w:t>
      </w:r>
    </w:p>
    <w:p w14:paraId="04C77211" w14:textId="00194411" w:rsidR="000A280A" w:rsidRDefault="000A280A" w:rsidP="00754F3C">
      <w:pPr>
        <w:autoSpaceDE w:val="0"/>
        <w:autoSpaceDN w:val="0"/>
        <w:adjustRightInd w:val="0"/>
        <w:spacing w:after="0" w:line="360" w:lineRule="auto"/>
        <w:rPr>
          <w:rFonts w:ascii="Times New Roman" w:hAnsi="Times New Roman"/>
          <w:color w:val="000000"/>
          <w:sz w:val="24"/>
          <w:lang w:val="en-GB"/>
        </w:rPr>
      </w:pPr>
    </w:p>
    <w:p w14:paraId="6454DDFF" w14:textId="19BA13BA" w:rsidR="008D34C2" w:rsidRDefault="008D34C2" w:rsidP="00754F3C">
      <w:pPr>
        <w:autoSpaceDE w:val="0"/>
        <w:autoSpaceDN w:val="0"/>
        <w:adjustRightInd w:val="0"/>
        <w:spacing w:after="0" w:line="360" w:lineRule="auto"/>
        <w:rPr>
          <w:rFonts w:ascii="Times New Roman" w:hAnsi="Times New Roman"/>
          <w:color w:val="000000"/>
          <w:sz w:val="24"/>
          <w:lang w:val="en-GB"/>
        </w:rPr>
      </w:pPr>
    </w:p>
    <w:p w14:paraId="12939180" w14:textId="77777777" w:rsidR="008D34C2" w:rsidRDefault="008D34C2" w:rsidP="00754F3C">
      <w:pPr>
        <w:autoSpaceDE w:val="0"/>
        <w:autoSpaceDN w:val="0"/>
        <w:adjustRightInd w:val="0"/>
        <w:spacing w:after="0" w:line="360" w:lineRule="auto"/>
        <w:rPr>
          <w:rFonts w:ascii="Times New Roman" w:hAnsi="Times New Roman"/>
          <w:color w:val="000000"/>
          <w:sz w:val="24"/>
          <w:lang w:val="en-GB"/>
        </w:rPr>
      </w:pPr>
    </w:p>
    <w:p w14:paraId="67B9E936" w14:textId="77777777" w:rsidR="008D34C2" w:rsidRPr="00192454" w:rsidRDefault="008D34C2">
      <w:pPr>
        <w:rPr>
          <w:rFonts w:cstheme="minorHAnsi"/>
          <w:b/>
          <w:bCs/>
          <w:lang w:val="en-GB"/>
        </w:rPr>
      </w:pPr>
    </w:p>
    <w:p w14:paraId="65624D3F" w14:textId="395685CE" w:rsidR="000A280A" w:rsidRPr="00192454" w:rsidRDefault="000A280A">
      <w:pPr>
        <w:rPr>
          <w:rFonts w:cstheme="minorHAnsi"/>
          <w:b/>
          <w:bCs/>
          <w:lang w:val="en-GB"/>
        </w:rPr>
      </w:pPr>
      <w:r w:rsidRPr="00192454">
        <w:rPr>
          <w:rFonts w:cstheme="minorHAnsi"/>
          <w:b/>
          <w:bCs/>
          <w:lang w:val="en-GB"/>
        </w:rPr>
        <w:br w:type="page"/>
      </w:r>
    </w:p>
    <w:p w14:paraId="06B40CB3" w14:textId="77777777" w:rsidR="00C567E2" w:rsidRPr="00192454" w:rsidRDefault="00C567E2" w:rsidP="00754F3C">
      <w:pPr>
        <w:spacing w:before="240" w:after="0"/>
        <w:rPr>
          <w:rFonts w:cstheme="minorHAnsi"/>
          <w:b/>
          <w:bCs/>
          <w:lang w:val="en-GB"/>
        </w:rPr>
      </w:pPr>
    </w:p>
    <w:p w14:paraId="6D998FA0" w14:textId="1C9C246B" w:rsidR="00B45A4E" w:rsidRDefault="00B45A4E" w:rsidP="00754F3C">
      <w:pPr>
        <w:spacing w:after="0"/>
        <w:rPr>
          <w:rFonts w:cstheme="minorHAnsi"/>
          <w:lang w:val="en-GB"/>
        </w:rPr>
      </w:pPr>
      <w:r w:rsidRPr="00CE66BE">
        <w:rPr>
          <w:rFonts w:cstheme="minorHAnsi"/>
          <w:b/>
          <w:bCs/>
          <w:lang w:val="en-GB"/>
        </w:rPr>
        <w:t>Conflict of Interest</w:t>
      </w:r>
      <w:r w:rsidRPr="00CE66BE">
        <w:rPr>
          <w:rFonts w:cstheme="minorHAnsi"/>
          <w:lang w:val="en-GB"/>
        </w:rPr>
        <w:t xml:space="preserve">: None </w:t>
      </w:r>
      <w:r w:rsidR="00E57BD7" w:rsidRPr="00CE66BE">
        <w:rPr>
          <w:rFonts w:cstheme="minorHAnsi"/>
          <w:lang w:val="en-GB"/>
        </w:rPr>
        <w:t>declared</w:t>
      </w:r>
      <w:r w:rsidRPr="00CE66BE">
        <w:rPr>
          <w:rFonts w:cstheme="minorHAnsi"/>
          <w:lang w:val="en-GB"/>
        </w:rPr>
        <w:t>.</w:t>
      </w:r>
    </w:p>
    <w:p w14:paraId="2D2DE687" w14:textId="6C9C19E2" w:rsidR="00F77BA8" w:rsidRDefault="00F77BA8" w:rsidP="00754F3C">
      <w:pPr>
        <w:spacing w:after="0"/>
        <w:rPr>
          <w:rFonts w:cstheme="minorHAnsi"/>
          <w:lang w:val="en-GB"/>
        </w:rPr>
      </w:pPr>
    </w:p>
    <w:p w14:paraId="1F69C44F" w14:textId="77777777" w:rsidR="00F77BA8" w:rsidRPr="00CE66BE" w:rsidRDefault="00F77BA8" w:rsidP="00F77BA8">
      <w:pPr>
        <w:spacing w:after="0"/>
        <w:rPr>
          <w:rFonts w:cstheme="minorHAnsi"/>
          <w:lang w:val="en-GB"/>
        </w:rPr>
      </w:pPr>
      <w:r w:rsidRPr="00CE66BE">
        <w:rPr>
          <w:rFonts w:cstheme="minorHAnsi"/>
          <w:b/>
          <w:bCs/>
          <w:lang w:val="en-GB"/>
        </w:rPr>
        <w:t>Funding/Support</w:t>
      </w:r>
      <w:r w:rsidRPr="00CE66BE">
        <w:rPr>
          <w:rFonts w:cstheme="minorHAnsi"/>
          <w:lang w:val="en-GB"/>
        </w:rPr>
        <w:t xml:space="preserve">: </w:t>
      </w:r>
      <w:r w:rsidRPr="00CE66BE">
        <w:rPr>
          <w:rFonts w:cstheme="minorHAnsi"/>
          <w:color w:val="000000"/>
          <w:shd w:val="clear" w:color="auto" w:fill="FFFFFF"/>
          <w:lang w:val="en-GB"/>
        </w:rPr>
        <w:t>This project has received funding from the European Union’s Horizon 2020 research and innovation programme under grant agreement No. 733001</w:t>
      </w:r>
      <w:r w:rsidRPr="00CE66BE">
        <w:rPr>
          <w:rFonts w:cstheme="minorHAnsi"/>
          <w:lang w:val="en-GB"/>
        </w:rPr>
        <w:t xml:space="preserve"> (Jan 2017 – Dec 2021) (https://ec.europa.eu/programmes/horizon2020/en). </w:t>
      </w:r>
    </w:p>
    <w:p w14:paraId="379CD2A2" w14:textId="1177B0A3" w:rsidR="00F77BA8" w:rsidRPr="00CE66BE" w:rsidRDefault="00F77BA8" w:rsidP="00F77BA8">
      <w:pPr>
        <w:spacing w:after="0"/>
        <w:rPr>
          <w:rFonts w:cstheme="minorHAnsi"/>
          <w:lang w:val="en-GB"/>
        </w:rPr>
      </w:pPr>
    </w:p>
    <w:p w14:paraId="164952B7" w14:textId="77777777" w:rsidR="00F77BA8" w:rsidRPr="00CE66BE" w:rsidRDefault="00F77BA8" w:rsidP="00F77BA8">
      <w:pPr>
        <w:spacing w:after="0"/>
        <w:rPr>
          <w:rFonts w:cstheme="minorHAnsi"/>
          <w:lang w:val="en-GB"/>
        </w:rPr>
      </w:pPr>
    </w:p>
    <w:p w14:paraId="15F7035C" w14:textId="77777777" w:rsidR="00F77BA8" w:rsidRPr="00CE66BE" w:rsidRDefault="00F77BA8" w:rsidP="00F77BA8">
      <w:pPr>
        <w:autoSpaceDE w:val="0"/>
        <w:autoSpaceDN w:val="0"/>
        <w:adjustRightInd w:val="0"/>
        <w:spacing w:after="0"/>
        <w:rPr>
          <w:rFonts w:cstheme="minorHAnsi"/>
          <w:b/>
          <w:bCs/>
          <w:lang w:val="en-GB"/>
        </w:rPr>
      </w:pPr>
      <w:r w:rsidRPr="00CE66BE">
        <w:rPr>
          <w:rFonts w:cstheme="minorHAnsi"/>
          <w:b/>
          <w:bCs/>
          <w:lang w:val="en-GB"/>
        </w:rPr>
        <w:t>Role of the Funder/Sponsor:</w:t>
      </w:r>
      <w:r w:rsidRPr="00CE66BE">
        <w:rPr>
          <w:rFonts w:cstheme="minorHAnsi"/>
          <w:lang w:val="en-GB"/>
        </w:rPr>
        <w:t xml:space="preserve"> </w:t>
      </w:r>
      <w:r w:rsidRPr="00CE66BE">
        <w:rPr>
          <w:rFonts w:cstheme="minorHAnsi"/>
          <w:color w:val="000000"/>
          <w:shd w:val="clear" w:color="auto" w:fill="FFFFFF"/>
          <w:lang w:val="en-GB"/>
        </w:rPr>
        <w:t>The views presented here are those of the authors only, and the European Commission is not responsible for any use that may be made of the information presented here.</w:t>
      </w:r>
    </w:p>
    <w:p w14:paraId="4048A1D6" w14:textId="77777777" w:rsidR="00F77BA8" w:rsidRPr="00CE66BE" w:rsidRDefault="00F77BA8" w:rsidP="00F77BA8">
      <w:pPr>
        <w:shd w:val="clear" w:color="auto" w:fill="FFFFFF"/>
        <w:spacing w:after="0"/>
        <w:textAlignment w:val="baseline"/>
        <w:rPr>
          <w:rFonts w:cstheme="minorHAnsi"/>
          <w:b/>
          <w:color w:val="000000"/>
          <w:shd w:val="clear" w:color="auto" w:fill="FFFFFF"/>
          <w:lang w:val="en-GB"/>
        </w:rPr>
      </w:pPr>
    </w:p>
    <w:p w14:paraId="3D75582C" w14:textId="77777777" w:rsidR="00F77BA8" w:rsidRPr="00CE66BE" w:rsidRDefault="00F77BA8" w:rsidP="00F77BA8">
      <w:pPr>
        <w:shd w:val="clear" w:color="auto" w:fill="FFFFFF"/>
        <w:spacing w:after="0"/>
        <w:textAlignment w:val="baseline"/>
        <w:rPr>
          <w:rFonts w:cstheme="minorHAnsi"/>
          <w:color w:val="000000"/>
          <w:shd w:val="clear" w:color="auto" w:fill="FFFFFF"/>
          <w:lang w:val="en-GB"/>
        </w:rPr>
      </w:pPr>
      <w:r w:rsidRPr="00CE66BE">
        <w:rPr>
          <w:rFonts w:cstheme="minorHAnsi"/>
          <w:b/>
          <w:color w:val="000000"/>
          <w:shd w:val="clear" w:color="auto" w:fill="FFFFFF"/>
          <w:lang w:val="en-GB"/>
        </w:rPr>
        <w:t>Acknowledgements</w:t>
      </w:r>
      <w:r w:rsidRPr="00CE66BE">
        <w:rPr>
          <w:rFonts w:cstheme="minorHAnsi"/>
          <w:color w:val="000000"/>
          <w:shd w:val="clear" w:color="auto" w:fill="FFFFFF"/>
          <w:lang w:val="en-GB"/>
        </w:rPr>
        <w:t xml:space="preserve">: </w:t>
      </w:r>
      <w:bookmarkStart w:id="3" w:name="_Hlk76745591"/>
      <w:r w:rsidRPr="00CE66BE">
        <w:rPr>
          <w:rFonts w:cstheme="minorHAnsi"/>
          <w:color w:val="000000"/>
          <w:shd w:val="clear" w:color="auto" w:fill="FFFFFF"/>
          <w:lang w:val="en-GB"/>
        </w:rPr>
        <w:t xml:space="preserve">We are very grateful to other </w:t>
      </w:r>
      <w:proofErr w:type="spellStart"/>
      <w:r w:rsidRPr="00CE66BE">
        <w:rPr>
          <w:rFonts w:cstheme="minorHAnsi"/>
          <w:color w:val="000000"/>
          <w:shd w:val="clear" w:color="auto" w:fill="FFFFFF"/>
          <w:lang w:val="en-GB"/>
        </w:rPr>
        <w:t>EUROlinkCAT</w:t>
      </w:r>
      <w:proofErr w:type="spellEnd"/>
      <w:r w:rsidRPr="00CE66BE">
        <w:rPr>
          <w:rFonts w:cstheme="minorHAnsi"/>
          <w:color w:val="000000"/>
          <w:shd w:val="clear" w:color="auto" w:fill="FFFFFF"/>
          <w:lang w:val="en-GB"/>
        </w:rPr>
        <w:t xml:space="preserve"> contributors to this paper for their work on the project: Mr Hugh Claridge for his project management</w:t>
      </w:r>
      <w:bookmarkEnd w:id="3"/>
      <w:r w:rsidRPr="00CE66BE">
        <w:rPr>
          <w:rFonts w:cstheme="minorHAnsi"/>
          <w:color w:val="000000"/>
          <w:shd w:val="clear" w:color="auto" w:fill="FFFFFF"/>
          <w:lang w:val="en-GB"/>
        </w:rPr>
        <w:t xml:space="preserve"> and Professor Elizabeth Draper (University of Leicester, Leicester, United Kingdom) and Professor Jenny Kurinczuk (University of Oxford, Oxford, United Kingdom) for the provision of data from the UK congenital anomaly registries in the East Midlands and South Yorkshire and Thames Valley respectively.</w:t>
      </w:r>
    </w:p>
    <w:p w14:paraId="59C46A1F" w14:textId="77777777" w:rsidR="00F77BA8" w:rsidRPr="00CE66BE" w:rsidRDefault="00F77BA8" w:rsidP="00F77BA8">
      <w:pPr>
        <w:shd w:val="clear" w:color="auto" w:fill="FFFFFF"/>
        <w:spacing w:after="0"/>
        <w:textAlignment w:val="baseline"/>
        <w:rPr>
          <w:rFonts w:cstheme="minorHAnsi"/>
          <w:color w:val="000000"/>
          <w:shd w:val="clear" w:color="auto" w:fill="FFFFFF"/>
          <w:lang w:val="en-GB"/>
        </w:rPr>
      </w:pPr>
    </w:p>
    <w:p w14:paraId="5F2814CE" w14:textId="77777777" w:rsidR="00F77BA8" w:rsidRPr="00CE66BE" w:rsidRDefault="00F77BA8" w:rsidP="00F77BA8">
      <w:pPr>
        <w:pStyle w:val="NormaleWeb"/>
        <w:spacing w:before="0" w:beforeAutospacing="0" w:after="0" w:afterAutospacing="0"/>
        <w:rPr>
          <w:rFonts w:asciiTheme="minorHAnsi" w:hAnsiTheme="minorHAnsi" w:cstheme="minorHAnsi"/>
          <w:sz w:val="22"/>
          <w:szCs w:val="22"/>
          <w:lang w:val="en-GB"/>
        </w:rPr>
      </w:pPr>
      <w:r w:rsidRPr="00CE66BE">
        <w:rPr>
          <w:rStyle w:val="Enfasigrassetto"/>
          <w:rFonts w:asciiTheme="minorHAnsi" w:hAnsiTheme="minorHAnsi" w:cstheme="minorHAnsi"/>
          <w:sz w:val="22"/>
          <w:szCs w:val="22"/>
          <w:lang w:val="en-GB"/>
        </w:rPr>
        <w:t>Authors' contributions</w:t>
      </w:r>
      <w:r w:rsidRPr="00CE66BE">
        <w:rPr>
          <w:rFonts w:asciiTheme="minorHAnsi" w:hAnsiTheme="minorHAnsi" w:cstheme="minorHAnsi"/>
          <w:sz w:val="22"/>
          <w:szCs w:val="22"/>
          <w:lang w:val="en-GB"/>
        </w:rPr>
        <w:t xml:space="preserve"> </w:t>
      </w:r>
    </w:p>
    <w:p w14:paraId="1FB3121B" w14:textId="77777777" w:rsidR="00F77BA8" w:rsidRPr="00F77BA8" w:rsidRDefault="00F77BA8" w:rsidP="00F77BA8">
      <w:pPr>
        <w:spacing w:after="0"/>
        <w:rPr>
          <w:rFonts w:cstheme="minorHAnsi"/>
          <w:color w:val="000000"/>
          <w:shd w:val="clear" w:color="auto" w:fill="FFFFFF"/>
          <w:lang w:val="en-GB"/>
        </w:rPr>
      </w:pPr>
      <w:r w:rsidRPr="00F77BA8">
        <w:rPr>
          <w:rFonts w:cstheme="minorHAnsi"/>
          <w:color w:val="000000"/>
          <w:shd w:val="clear" w:color="auto" w:fill="FFFFFF"/>
          <w:lang w:val="en-GB"/>
        </w:rPr>
        <w:t>Santoro, Coi and Morris had full access to all of the data in the study and take responsibility for the integrity of the data and the accuracy of the data analysis.</w:t>
      </w:r>
    </w:p>
    <w:p w14:paraId="33CA6589" w14:textId="77777777" w:rsidR="00F77BA8" w:rsidRPr="00F77BA8" w:rsidRDefault="00F77BA8" w:rsidP="00F77BA8">
      <w:pPr>
        <w:spacing w:after="0"/>
        <w:rPr>
          <w:rFonts w:cstheme="minorHAnsi"/>
          <w:color w:val="000000"/>
          <w:shd w:val="clear" w:color="auto" w:fill="FFFFFF"/>
        </w:rPr>
      </w:pPr>
      <w:proofErr w:type="spellStart"/>
      <w:r w:rsidRPr="00F77BA8">
        <w:rPr>
          <w:rFonts w:cstheme="minorHAnsi"/>
          <w:color w:val="000000"/>
          <w:shd w:val="clear" w:color="auto" w:fill="FFFFFF"/>
        </w:rPr>
        <w:t>Concept</w:t>
      </w:r>
      <w:proofErr w:type="spellEnd"/>
      <w:r w:rsidRPr="00F77BA8">
        <w:rPr>
          <w:rFonts w:cstheme="minorHAnsi"/>
          <w:color w:val="000000"/>
          <w:shd w:val="clear" w:color="auto" w:fill="FFFFFF"/>
        </w:rPr>
        <w:t xml:space="preserve"> and design: Morris, Santoro, Coi, Pierini, Glinianaia, Rankin.</w:t>
      </w:r>
    </w:p>
    <w:p w14:paraId="76A5F66F" w14:textId="77777777" w:rsidR="00F77BA8" w:rsidRPr="00F77BA8" w:rsidRDefault="00F77BA8" w:rsidP="00F77BA8">
      <w:pPr>
        <w:spacing w:after="0"/>
        <w:rPr>
          <w:rFonts w:cstheme="minorHAnsi"/>
          <w:color w:val="000000"/>
          <w:shd w:val="clear" w:color="auto" w:fill="FFFFFF"/>
          <w:lang w:val="en-GB"/>
        </w:rPr>
      </w:pPr>
      <w:r w:rsidRPr="00F77BA8">
        <w:rPr>
          <w:rFonts w:cstheme="minorHAnsi"/>
          <w:color w:val="000000"/>
          <w:shd w:val="clear" w:color="auto" w:fill="FFFFFF"/>
          <w:lang w:val="en-GB"/>
        </w:rPr>
        <w:t xml:space="preserve">Development of study methods, including data standardisation and linkage, development of statistical analysis plan, writing analysis programs and statistical analysis: Loane, Given, Santoro, Coi, Morris, Tan, Reid. </w:t>
      </w:r>
    </w:p>
    <w:p w14:paraId="57EBECF8" w14:textId="77777777" w:rsidR="00F77BA8" w:rsidRPr="00F77BA8" w:rsidRDefault="00F77BA8" w:rsidP="00F77BA8">
      <w:pPr>
        <w:spacing w:after="0"/>
        <w:rPr>
          <w:rFonts w:cstheme="minorHAnsi"/>
          <w:color w:val="000000"/>
          <w:shd w:val="clear" w:color="auto" w:fill="FFFFFF"/>
          <w:lang w:val="en-GB"/>
        </w:rPr>
      </w:pPr>
      <w:r w:rsidRPr="00F77BA8">
        <w:rPr>
          <w:rFonts w:cstheme="minorHAnsi"/>
          <w:color w:val="000000"/>
          <w:shd w:val="clear" w:color="auto" w:fill="FFFFFF"/>
          <w:lang w:val="en-GB"/>
        </w:rPr>
        <w:t xml:space="preserve">Data acquisition and interpretation of the results: All authors. </w:t>
      </w:r>
    </w:p>
    <w:p w14:paraId="10EECE9F" w14:textId="77777777" w:rsidR="00F77BA8" w:rsidRPr="00F77BA8" w:rsidRDefault="00F77BA8" w:rsidP="00F77BA8">
      <w:pPr>
        <w:spacing w:after="0"/>
        <w:rPr>
          <w:rFonts w:cstheme="minorHAnsi"/>
          <w:color w:val="000000"/>
          <w:shd w:val="clear" w:color="auto" w:fill="FFFFFF"/>
          <w:lang w:val="en-GB"/>
        </w:rPr>
      </w:pPr>
      <w:r w:rsidRPr="00F77BA8">
        <w:rPr>
          <w:rFonts w:cstheme="minorHAnsi"/>
          <w:color w:val="000000"/>
          <w:shd w:val="clear" w:color="auto" w:fill="FFFFFF"/>
          <w:lang w:val="en-GB"/>
        </w:rPr>
        <w:t>Drafting of the manuscript: Santoro, Morris.</w:t>
      </w:r>
    </w:p>
    <w:p w14:paraId="34796C26" w14:textId="77777777" w:rsidR="00F77BA8" w:rsidRPr="00F77BA8" w:rsidRDefault="00F77BA8" w:rsidP="00F77BA8">
      <w:pPr>
        <w:spacing w:after="0"/>
        <w:rPr>
          <w:rFonts w:cstheme="minorHAnsi"/>
          <w:color w:val="000000"/>
          <w:shd w:val="clear" w:color="auto" w:fill="FFFFFF"/>
          <w:lang w:val="en-GB"/>
        </w:rPr>
      </w:pPr>
      <w:r w:rsidRPr="00F77BA8">
        <w:rPr>
          <w:rFonts w:cstheme="minorHAnsi"/>
          <w:color w:val="000000"/>
          <w:shd w:val="clear" w:color="auto" w:fill="FFFFFF"/>
          <w:lang w:val="en-GB"/>
        </w:rPr>
        <w:t>Critical revision of the manuscript for important intellectual content: All authors.</w:t>
      </w:r>
    </w:p>
    <w:p w14:paraId="3136C519" w14:textId="77777777" w:rsidR="00F77BA8" w:rsidRPr="00F77BA8" w:rsidRDefault="00F77BA8" w:rsidP="00F77BA8">
      <w:pPr>
        <w:spacing w:after="0"/>
        <w:rPr>
          <w:rFonts w:cstheme="minorHAnsi"/>
          <w:color w:val="000000"/>
          <w:shd w:val="clear" w:color="auto" w:fill="FFFFFF"/>
          <w:lang w:val="en-GB"/>
        </w:rPr>
      </w:pPr>
      <w:r w:rsidRPr="00F77BA8">
        <w:rPr>
          <w:rFonts w:cstheme="minorHAnsi"/>
          <w:color w:val="000000"/>
          <w:shd w:val="clear" w:color="auto" w:fill="FFFFFF"/>
          <w:lang w:val="en-GB"/>
        </w:rPr>
        <w:t xml:space="preserve">Obtained funding: Morris, Rankin, Pierini, Loane, </w:t>
      </w:r>
      <w:proofErr w:type="gramStart"/>
      <w:r w:rsidRPr="00F77BA8">
        <w:rPr>
          <w:rFonts w:cstheme="minorHAnsi"/>
          <w:color w:val="000000"/>
          <w:shd w:val="clear" w:color="auto" w:fill="FFFFFF"/>
          <w:lang w:val="en-GB"/>
        </w:rPr>
        <w:t>Garne</w:t>
      </w:r>
      <w:proofErr w:type="gramEnd"/>
      <w:r w:rsidRPr="00F77BA8">
        <w:rPr>
          <w:rFonts w:cstheme="minorHAnsi"/>
          <w:color w:val="000000"/>
          <w:shd w:val="clear" w:color="auto" w:fill="FFFFFF"/>
          <w:lang w:val="en-GB"/>
        </w:rPr>
        <w:t>.</w:t>
      </w:r>
    </w:p>
    <w:p w14:paraId="1D341B03" w14:textId="77777777" w:rsidR="00F77BA8" w:rsidRPr="00F77BA8" w:rsidRDefault="00F77BA8" w:rsidP="00F77BA8">
      <w:pPr>
        <w:spacing w:after="0"/>
        <w:rPr>
          <w:rFonts w:cstheme="minorHAnsi"/>
          <w:color w:val="000000"/>
          <w:shd w:val="clear" w:color="auto" w:fill="FFFFFF"/>
          <w:lang w:val="en-GB"/>
        </w:rPr>
      </w:pPr>
      <w:r w:rsidRPr="00F77BA8">
        <w:rPr>
          <w:rFonts w:cstheme="minorHAnsi"/>
          <w:color w:val="000000"/>
          <w:shd w:val="clear" w:color="auto" w:fill="FFFFFF"/>
          <w:lang w:val="en-GB"/>
        </w:rPr>
        <w:t>Supervision: Morris.</w:t>
      </w:r>
    </w:p>
    <w:p w14:paraId="3B99ED9C" w14:textId="72FD0E24" w:rsidR="00F77BA8" w:rsidRPr="00CE66BE" w:rsidRDefault="00F77BA8" w:rsidP="00F77BA8">
      <w:pPr>
        <w:spacing w:after="0"/>
        <w:rPr>
          <w:rFonts w:cstheme="minorHAnsi"/>
          <w:lang w:val="en-GB"/>
        </w:rPr>
      </w:pPr>
      <w:r w:rsidRPr="00F77BA8">
        <w:rPr>
          <w:rFonts w:cstheme="minorHAnsi"/>
          <w:color w:val="000000"/>
          <w:shd w:val="clear" w:color="auto" w:fill="FFFFFF"/>
          <w:lang w:val="en-GB"/>
        </w:rPr>
        <w:t>All authors approved the final manuscript as submitted and agree to be accountable for major aspects of the work.</w:t>
      </w:r>
    </w:p>
    <w:p w14:paraId="08BECD4D" w14:textId="77777777" w:rsidR="00E57BD7" w:rsidRPr="00CE66BE" w:rsidRDefault="00E57BD7" w:rsidP="00754F3C">
      <w:pPr>
        <w:spacing w:after="0"/>
        <w:rPr>
          <w:rFonts w:cstheme="minorHAnsi"/>
          <w:lang w:val="en-GB"/>
        </w:rPr>
      </w:pPr>
    </w:p>
    <w:p w14:paraId="548DF111" w14:textId="77777777" w:rsidR="00E57BD7" w:rsidRPr="00CE66BE" w:rsidRDefault="00E57BD7" w:rsidP="00754F3C">
      <w:pPr>
        <w:spacing w:after="0" w:line="240" w:lineRule="auto"/>
        <w:rPr>
          <w:rFonts w:cstheme="minorHAnsi"/>
          <w:color w:val="000000"/>
          <w:shd w:val="clear" w:color="auto" w:fill="FFFFFF"/>
          <w:lang w:val="en-GB"/>
        </w:rPr>
      </w:pPr>
    </w:p>
    <w:p w14:paraId="3F260C02" w14:textId="7EC7AF84" w:rsidR="000729AD" w:rsidRPr="00E504ED" w:rsidRDefault="000729AD" w:rsidP="00F77BA8">
      <w:pPr>
        <w:spacing w:after="0"/>
        <w:rPr>
          <w:rFonts w:ascii="Times New Roman" w:hAnsi="Times New Roman" w:cs="Times New Roman"/>
          <w:color w:val="000000"/>
          <w:shd w:val="clear" w:color="auto" w:fill="FFFFFF"/>
          <w:lang w:val="en-GB"/>
        </w:rPr>
      </w:pPr>
      <w:r w:rsidRPr="00E504ED">
        <w:rPr>
          <w:rFonts w:ascii="Times New Roman" w:hAnsi="Times New Roman" w:cs="Times New Roman"/>
          <w:color w:val="000000"/>
          <w:shd w:val="clear" w:color="auto" w:fill="FFFFFF"/>
          <w:lang w:val="en-GB"/>
        </w:rPr>
        <w:br w:type="page"/>
      </w:r>
    </w:p>
    <w:p w14:paraId="0D4798EA" w14:textId="45073000" w:rsidR="00DB1661" w:rsidRDefault="00DB1661" w:rsidP="00754F3C">
      <w:pPr>
        <w:jc w:val="both"/>
        <w:rPr>
          <w:rFonts w:cstheme="minorHAnsi"/>
          <w:lang w:val="en-GB"/>
        </w:rPr>
      </w:pPr>
      <w:r w:rsidRPr="00CE66BE">
        <w:rPr>
          <w:rFonts w:cstheme="minorHAnsi"/>
          <w:b/>
          <w:lang w:val="en-GB"/>
        </w:rPr>
        <w:lastRenderedPageBreak/>
        <w:t>Table 1</w:t>
      </w:r>
      <w:r w:rsidRPr="00CE66BE">
        <w:rPr>
          <w:rFonts w:cstheme="minorHAnsi"/>
          <w:lang w:val="en-GB"/>
        </w:rPr>
        <w:t xml:space="preserve"> Study period, linkage data source, number of live birth cases, </w:t>
      </w:r>
      <w:proofErr w:type="gramStart"/>
      <w:r w:rsidRPr="00CE66BE">
        <w:rPr>
          <w:rFonts w:cstheme="minorHAnsi"/>
          <w:lang w:val="en-GB"/>
        </w:rPr>
        <w:t>live</w:t>
      </w:r>
      <w:proofErr w:type="gramEnd"/>
      <w:r w:rsidRPr="00CE66BE">
        <w:rPr>
          <w:rFonts w:cstheme="minorHAnsi"/>
          <w:lang w:val="en-GB"/>
        </w:rPr>
        <w:t xml:space="preserve"> birth prevalence per 10,000 births, proportion of termination of pregnancy for </w:t>
      </w:r>
      <w:proofErr w:type="spellStart"/>
      <w:r w:rsidRPr="00CE66BE">
        <w:rPr>
          <w:rFonts w:cstheme="minorHAnsi"/>
          <w:lang w:val="en-GB"/>
        </w:rPr>
        <w:t>fetal</w:t>
      </w:r>
      <w:proofErr w:type="spellEnd"/>
      <w:r w:rsidRPr="00CE66BE">
        <w:rPr>
          <w:rFonts w:cstheme="minorHAnsi"/>
          <w:lang w:val="en-GB"/>
        </w:rPr>
        <w:t xml:space="preserve"> anomaly and proportion of linked live births, by registry</w:t>
      </w:r>
      <w:r w:rsidR="00B96577" w:rsidRPr="00CE66BE">
        <w:rPr>
          <w:rFonts w:cstheme="minorHAnsi"/>
          <w:lang w:val="en-GB"/>
        </w:rPr>
        <w:t>.</w:t>
      </w:r>
    </w:p>
    <w:tbl>
      <w:tblPr>
        <w:tblW w:w="9568" w:type="dxa"/>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2694"/>
        <w:gridCol w:w="1134"/>
        <w:gridCol w:w="1134"/>
        <w:gridCol w:w="1134"/>
        <w:gridCol w:w="1276"/>
        <w:gridCol w:w="1134"/>
        <w:gridCol w:w="1062"/>
      </w:tblGrid>
      <w:tr w:rsidR="00C40D5E" w:rsidRPr="00FD09C9" w14:paraId="18A9820E" w14:textId="77777777" w:rsidTr="00162987">
        <w:trPr>
          <w:trHeight w:val="283"/>
        </w:trPr>
        <w:tc>
          <w:tcPr>
            <w:tcW w:w="2694" w:type="dxa"/>
            <w:tcBorders>
              <w:top w:val="single" w:sz="4" w:space="0" w:color="auto"/>
              <w:bottom w:val="single" w:sz="4" w:space="0" w:color="auto"/>
            </w:tcBorders>
            <w:shd w:val="clear" w:color="auto" w:fill="auto"/>
            <w:noWrap/>
            <w:hideMark/>
          </w:tcPr>
          <w:p w14:paraId="05D86D6E" w14:textId="77777777" w:rsidR="00C40D5E" w:rsidRPr="00FD09C9" w:rsidRDefault="00C40D5E" w:rsidP="00162987">
            <w:pPr>
              <w:spacing w:after="0" w:line="240" w:lineRule="auto"/>
              <w:rPr>
                <w:rFonts w:eastAsia="Times New Roman" w:cstheme="minorHAnsi"/>
                <w:b/>
                <w:bCs/>
                <w:color w:val="000000"/>
                <w:lang w:eastAsia="it-IT"/>
              </w:rPr>
            </w:pPr>
            <w:proofErr w:type="spellStart"/>
            <w:r w:rsidRPr="00FD09C9">
              <w:rPr>
                <w:rFonts w:eastAsia="Times New Roman" w:cstheme="minorHAnsi"/>
                <w:b/>
                <w:bCs/>
                <w:color w:val="000000"/>
                <w:lang w:eastAsia="it-IT"/>
              </w:rPr>
              <w:t>Registry</w:t>
            </w:r>
            <w:proofErr w:type="spellEnd"/>
          </w:p>
        </w:tc>
        <w:tc>
          <w:tcPr>
            <w:tcW w:w="1134" w:type="dxa"/>
            <w:tcBorders>
              <w:top w:val="single" w:sz="4" w:space="0" w:color="auto"/>
              <w:bottom w:val="single" w:sz="4" w:space="0" w:color="auto"/>
            </w:tcBorders>
            <w:shd w:val="clear" w:color="auto" w:fill="auto"/>
            <w:noWrap/>
            <w:hideMark/>
          </w:tcPr>
          <w:p w14:paraId="5AEAD64C" w14:textId="77777777" w:rsidR="00C40D5E" w:rsidRPr="00FD09C9" w:rsidRDefault="00C40D5E" w:rsidP="00162987">
            <w:pPr>
              <w:spacing w:after="0" w:line="240" w:lineRule="auto"/>
              <w:jc w:val="center"/>
              <w:rPr>
                <w:rFonts w:eastAsia="Times New Roman" w:cstheme="minorHAnsi"/>
                <w:b/>
                <w:bCs/>
                <w:color w:val="000000"/>
                <w:lang w:eastAsia="it-IT"/>
              </w:rPr>
            </w:pPr>
            <w:r w:rsidRPr="00FD09C9">
              <w:rPr>
                <w:rFonts w:eastAsia="Times New Roman" w:cstheme="minorHAnsi"/>
                <w:b/>
                <w:bCs/>
                <w:color w:val="000000"/>
                <w:lang w:eastAsia="it-IT"/>
              </w:rPr>
              <w:t xml:space="preserve">Birth </w:t>
            </w:r>
            <w:proofErr w:type="spellStart"/>
            <w:r w:rsidRPr="00FD09C9">
              <w:rPr>
                <w:rFonts w:eastAsia="Times New Roman" w:cstheme="minorHAnsi"/>
                <w:b/>
                <w:bCs/>
                <w:color w:val="000000"/>
                <w:lang w:eastAsia="it-IT"/>
              </w:rPr>
              <w:t>years</w:t>
            </w:r>
            <w:proofErr w:type="spellEnd"/>
          </w:p>
        </w:tc>
        <w:tc>
          <w:tcPr>
            <w:tcW w:w="1134" w:type="dxa"/>
            <w:tcBorders>
              <w:top w:val="single" w:sz="4" w:space="0" w:color="auto"/>
              <w:bottom w:val="single" w:sz="4" w:space="0" w:color="auto"/>
            </w:tcBorders>
          </w:tcPr>
          <w:p w14:paraId="7E2C0A6E" w14:textId="77777777" w:rsidR="00C40D5E" w:rsidRPr="00FD09C9" w:rsidRDefault="00C40D5E" w:rsidP="00162987">
            <w:pPr>
              <w:spacing w:after="0" w:line="240" w:lineRule="auto"/>
              <w:jc w:val="center"/>
              <w:rPr>
                <w:rFonts w:eastAsia="Times New Roman" w:cstheme="minorHAnsi"/>
                <w:b/>
                <w:bCs/>
                <w:color w:val="000000"/>
                <w:lang w:val="en-GB" w:eastAsia="it-IT"/>
              </w:rPr>
            </w:pPr>
            <w:r w:rsidRPr="00FD09C9">
              <w:rPr>
                <w:rFonts w:cstheme="minorHAnsi"/>
                <w:b/>
                <w:bCs/>
                <w:lang w:val="en-GB"/>
              </w:rPr>
              <w:t xml:space="preserve">Linkage </w:t>
            </w:r>
          </w:p>
        </w:tc>
        <w:tc>
          <w:tcPr>
            <w:tcW w:w="1134" w:type="dxa"/>
            <w:tcBorders>
              <w:top w:val="single" w:sz="4" w:space="0" w:color="auto"/>
              <w:bottom w:val="single" w:sz="4" w:space="0" w:color="auto"/>
            </w:tcBorders>
            <w:shd w:val="clear" w:color="auto" w:fill="auto"/>
            <w:noWrap/>
            <w:hideMark/>
          </w:tcPr>
          <w:p w14:paraId="7A992295" w14:textId="77777777" w:rsidR="00C40D5E" w:rsidRPr="00FD09C9" w:rsidRDefault="00C40D5E" w:rsidP="00162987">
            <w:pPr>
              <w:spacing w:after="0" w:line="240" w:lineRule="auto"/>
              <w:jc w:val="center"/>
              <w:rPr>
                <w:rFonts w:eastAsia="Times New Roman" w:cstheme="minorHAnsi"/>
                <w:b/>
                <w:bCs/>
                <w:color w:val="000000"/>
                <w:lang w:val="en-GB" w:eastAsia="it-IT"/>
              </w:rPr>
            </w:pPr>
            <w:r w:rsidRPr="00FD09C9">
              <w:rPr>
                <w:rFonts w:eastAsia="Times New Roman" w:cstheme="minorHAnsi"/>
                <w:b/>
                <w:bCs/>
                <w:color w:val="000000"/>
                <w:lang w:val="en-GB" w:eastAsia="it-IT"/>
              </w:rPr>
              <w:t xml:space="preserve">Number of LB cases </w:t>
            </w:r>
          </w:p>
        </w:tc>
        <w:tc>
          <w:tcPr>
            <w:tcW w:w="1276" w:type="dxa"/>
            <w:tcBorders>
              <w:top w:val="single" w:sz="4" w:space="0" w:color="auto"/>
              <w:bottom w:val="single" w:sz="4" w:space="0" w:color="auto"/>
            </w:tcBorders>
            <w:shd w:val="clear" w:color="auto" w:fill="auto"/>
            <w:noWrap/>
            <w:hideMark/>
          </w:tcPr>
          <w:p w14:paraId="5FD09B73" w14:textId="77777777" w:rsidR="00C40D5E" w:rsidRPr="00FD09C9" w:rsidRDefault="00C40D5E" w:rsidP="00162987">
            <w:pPr>
              <w:spacing w:after="0" w:line="240" w:lineRule="auto"/>
              <w:jc w:val="center"/>
              <w:rPr>
                <w:rFonts w:eastAsia="Times New Roman" w:cstheme="minorHAnsi"/>
                <w:b/>
                <w:bCs/>
                <w:color w:val="000000"/>
                <w:lang w:eastAsia="it-IT"/>
              </w:rPr>
            </w:pPr>
            <w:r w:rsidRPr="00FD09C9">
              <w:rPr>
                <w:rFonts w:eastAsia="Times New Roman" w:cstheme="minorHAnsi"/>
                <w:b/>
                <w:bCs/>
                <w:color w:val="000000"/>
                <w:lang w:eastAsia="it-IT"/>
              </w:rPr>
              <w:t xml:space="preserve">LB </w:t>
            </w:r>
            <w:proofErr w:type="spellStart"/>
            <w:r w:rsidRPr="00FD09C9">
              <w:rPr>
                <w:rFonts w:eastAsia="Times New Roman" w:cstheme="minorHAnsi"/>
                <w:b/>
                <w:bCs/>
                <w:color w:val="000000"/>
                <w:lang w:eastAsia="it-IT"/>
              </w:rPr>
              <w:t>prevalence</w:t>
            </w:r>
            <w:proofErr w:type="spellEnd"/>
            <w:r w:rsidRPr="00FD09C9">
              <w:rPr>
                <w:rFonts w:eastAsia="Times New Roman" w:cstheme="minorHAnsi"/>
                <w:b/>
                <w:bCs/>
                <w:color w:val="000000"/>
                <w:lang w:eastAsia="it-IT"/>
              </w:rPr>
              <w:t xml:space="preserve"> per 10,000 </w:t>
            </w:r>
            <w:proofErr w:type="spellStart"/>
            <w:r w:rsidRPr="00FD09C9">
              <w:rPr>
                <w:rFonts w:eastAsia="Times New Roman" w:cstheme="minorHAnsi"/>
                <w:b/>
                <w:bCs/>
                <w:color w:val="000000"/>
                <w:lang w:eastAsia="it-IT"/>
              </w:rPr>
              <w:t>births</w:t>
            </w:r>
            <w:proofErr w:type="spellEnd"/>
            <w:r w:rsidRPr="00FD09C9">
              <w:rPr>
                <w:rFonts w:eastAsia="Times New Roman" w:cstheme="minorHAnsi"/>
                <w:b/>
                <w:bCs/>
                <w:color w:val="000000"/>
                <w:lang w:eastAsia="it-IT"/>
              </w:rPr>
              <w:t>*</w:t>
            </w:r>
          </w:p>
        </w:tc>
        <w:tc>
          <w:tcPr>
            <w:tcW w:w="1134" w:type="dxa"/>
            <w:tcBorders>
              <w:top w:val="single" w:sz="4" w:space="0" w:color="auto"/>
              <w:bottom w:val="single" w:sz="4" w:space="0" w:color="auto"/>
            </w:tcBorders>
          </w:tcPr>
          <w:p w14:paraId="60E86537" w14:textId="77777777" w:rsidR="00C40D5E" w:rsidRPr="00FD09C9" w:rsidRDefault="00C40D5E" w:rsidP="00162987">
            <w:pPr>
              <w:spacing w:after="0" w:line="240" w:lineRule="auto"/>
              <w:jc w:val="center"/>
              <w:rPr>
                <w:rFonts w:eastAsia="Times New Roman" w:cstheme="minorHAnsi"/>
                <w:b/>
                <w:bCs/>
                <w:color w:val="000000"/>
                <w:lang w:val="en-GB" w:eastAsia="it-IT"/>
              </w:rPr>
            </w:pPr>
            <w:r w:rsidRPr="00FD09C9">
              <w:rPr>
                <w:rFonts w:eastAsia="Times New Roman" w:cstheme="minorHAnsi"/>
                <w:b/>
                <w:bCs/>
                <w:color w:val="000000"/>
                <w:lang w:val="en-GB" w:eastAsia="it-IT"/>
              </w:rPr>
              <w:t>% of TOPFA on total cases *</w:t>
            </w:r>
          </w:p>
        </w:tc>
        <w:tc>
          <w:tcPr>
            <w:tcW w:w="1062" w:type="dxa"/>
            <w:tcBorders>
              <w:top w:val="single" w:sz="4" w:space="0" w:color="auto"/>
              <w:bottom w:val="single" w:sz="4" w:space="0" w:color="auto"/>
            </w:tcBorders>
          </w:tcPr>
          <w:p w14:paraId="4E7FD209" w14:textId="77777777" w:rsidR="00C40D5E" w:rsidRPr="00FD09C9" w:rsidRDefault="00C40D5E" w:rsidP="00162987">
            <w:pPr>
              <w:spacing w:after="0" w:line="240" w:lineRule="auto"/>
              <w:jc w:val="center"/>
              <w:rPr>
                <w:rFonts w:eastAsia="Times New Roman" w:cstheme="minorHAnsi"/>
                <w:b/>
                <w:bCs/>
                <w:color w:val="000000"/>
                <w:lang w:eastAsia="it-IT"/>
              </w:rPr>
            </w:pPr>
            <w:r w:rsidRPr="00FD09C9">
              <w:rPr>
                <w:rFonts w:eastAsia="Times New Roman" w:cstheme="minorHAnsi"/>
                <w:b/>
                <w:color w:val="000000"/>
                <w:lang w:eastAsia="it-IT"/>
              </w:rPr>
              <w:t xml:space="preserve">% of LB </w:t>
            </w:r>
            <w:proofErr w:type="spellStart"/>
            <w:r w:rsidRPr="00FD09C9">
              <w:rPr>
                <w:rFonts w:eastAsia="Times New Roman" w:cstheme="minorHAnsi"/>
                <w:b/>
                <w:color w:val="000000"/>
                <w:lang w:eastAsia="it-IT"/>
              </w:rPr>
              <w:t>children</w:t>
            </w:r>
            <w:proofErr w:type="spellEnd"/>
            <w:r w:rsidRPr="00FD09C9">
              <w:rPr>
                <w:rFonts w:eastAsia="Times New Roman" w:cstheme="minorHAnsi"/>
                <w:b/>
                <w:color w:val="000000"/>
                <w:lang w:eastAsia="it-IT"/>
              </w:rPr>
              <w:t xml:space="preserve"> </w:t>
            </w:r>
            <w:proofErr w:type="spellStart"/>
            <w:r w:rsidRPr="00FD09C9">
              <w:rPr>
                <w:rFonts w:eastAsia="Times New Roman" w:cstheme="minorHAnsi"/>
                <w:b/>
                <w:color w:val="000000"/>
                <w:lang w:eastAsia="it-IT"/>
              </w:rPr>
              <w:t>linked</w:t>
            </w:r>
            <w:proofErr w:type="spellEnd"/>
            <w:r w:rsidRPr="00FD09C9">
              <w:rPr>
                <w:rFonts w:eastAsia="Times New Roman" w:cstheme="minorHAnsi"/>
                <w:b/>
                <w:color w:val="000000"/>
                <w:lang w:eastAsia="it-IT"/>
              </w:rPr>
              <w:t xml:space="preserve"> </w:t>
            </w:r>
          </w:p>
        </w:tc>
      </w:tr>
      <w:tr w:rsidR="00C40D5E" w:rsidRPr="00FD09C9" w14:paraId="499B97E3" w14:textId="77777777" w:rsidTr="00162987">
        <w:trPr>
          <w:trHeight w:val="283"/>
        </w:trPr>
        <w:tc>
          <w:tcPr>
            <w:tcW w:w="2694" w:type="dxa"/>
            <w:tcBorders>
              <w:top w:val="single" w:sz="4" w:space="0" w:color="auto"/>
            </w:tcBorders>
            <w:shd w:val="clear" w:color="auto" w:fill="auto"/>
            <w:noWrap/>
            <w:vAlign w:val="center"/>
            <w:hideMark/>
          </w:tcPr>
          <w:p w14:paraId="39EF244F" w14:textId="77777777" w:rsidR="00C40D5E" w:rsidRPr="00FD09C9" w:rsidRDefault="00C40D5E" w:rsidP="00162987">
            <w:pPr>
              <w:spacing w:after="0" w:line="240" w:lineRule="auto"/>
              <w:rPr>
                <w:rFonts w:eastAsia="Times New Roman" w:cstheme="minorHAnsi"/>
                <w:color w:val="000000"/>
                <w:lang w:eastAsia="it-IT"/>
              </w:rPr>
            </w:pPr>
            <w:proofErr w:type="spellStart"/>
            <w:r w:rsidRPr="00FD09C9">
              <w:rPr>
                <w:rFonts w:eastAsia="Times New Roman" w:cstheme="minorHAnsi"/>
                <w:color w:val="000000"/>
                <w:lang w:eastAsia="it-IT"/>
              </w:rPr>
              <w:t>Belgium</w:t>
            </w:r>
            <w:proofErr w:type="spellEnd"/>
            <w:r w:rsidRPr="00FD09C9">
              <w:rPr>
                <w:rFonts w:eastAsia="Times New Roman" w:cstheme="minorHAnsi"/>
                <w:color w:val="000000"/>
                <w:lang w:eastAsia="it-IT"/>
              </w:rPr>
              <w:t>: Antwerp</w:t>
            </w:r>
          </w:p>
        </w:tc>
        <w:tc>
          <w:tcPr>
            <w:tcW w:w="1134" w:type="dxa"/>
            <w:tcBorders>
              <w:top w:val="single" w:sz="4" w:space="0" w:color="auto"/>
            </w:tcBorders>
            <w:shd w:val="clear" w:color="auto" w:fill="auto"/>
            <w:noWrap/>
            <w:vAlign w:val="center"/>
            <w:hideMark/>
          </w:tcPr>
          <w:p w14:paraId="2650C0A5" w14:textId="77777777" w:rsidR="00C40D5E" w:rsidRPr="00FD09C9" w:rsidRDefault="00C40D5E" w:rsidP="00162987">
            <w:pPr>
              <w:spacing w:after="0" w:line="240" w:lineRule="auto"/>
              <w:jc w:val="center"/>
              <w:rPr>
                <w:rFonts w:eastAsia="Times New Roman" w:cstheme="minorHAnsi"/>
                <w:color w:val="000000"/>
                <w:lang w:eastAsia="it-IT"/>
              </w:rPr>
            </w:pPr>
            <w:r w:rsidRPr="00FD09C9">
              <w:rPr>
                <w:rFonts w:eastAsia="Times New Roman" w:cstheme="minorHAnsi"/>
                <w:color w:val="000000"/>
                <w:lang w:eastAsia="it-IT"/>
              </w:rPr>
              <w:t>2005-2014</w:t>
            </w:r>
          </w:p>
        </w:tc>
        <w:tc>
          <w:tcPr>
            <w:tcW w:w="1134" w:type="dxa"/>
            <w:tcBorders>
              <w:top w:val="single" w:sz="4" w:space="0" w:color="auto"/>
            </w:tcBorders>
          </w:tcPr>
          <w:p w14:paraId="02FB3A89" w14:textId="77777777" w:rsidR="00C40D5E" w:rsidRPr="00FD09C9" w:rsidRDefault="00C40D5E" w:rsidP="00162987">
            <w:pPr>
              <w:spacing w:after="0" w:line="240" w:lineRule="auto"/>
              <w:jc w:val="center"/>
              <w:rPr>
                <w:rFonts w:eastAsia="Times New Roman" w:cstheme="minorHAnsi"/>
                <w:color w:val="000000"/>
                <w:lang w:eastAsia="it-IT"/>
              </w:rPr>
            </w:pPr>
            <w:r>
              <w:rPr>
                <w:rFonts w:eastAsia="Times New Roman" w:cstheme="minorHAnsi"/>
                <w:color w:val="000000"/>
                <w:lang w:eastAsia="it-IT"/>
              </w:rPr>
              <w:t>MR</w:t>
            </w:r>
          </w:p>
        </w:tc>
        <w:tc>
          <w:tcPr>
            <w:tcW w:w="1134" w:type="dxa"/>
            <w:tcBorders>
              <w:top w:val="single" w:sz="4" w:space="0" w:color="auto"/>
            </w:tcBorders>
            <w:shd w:val="clear" w:color="auto" w:fill="auto"/>
            <w:noWrap/>
            <w:vAlign w:val="center"/>
            <w:hideMark/>
          </w:tcPr>
          <w:p w14:paraId="7B013CE8" w14:textId="77777777" w:rsidR="00C40D5E" w:rsidRPr="00FD09C9" w:rsidRDefault="00C40D5E" w:rsidP="00162987">
            <w:pPr>
              <w:spacing w:after="0" w:line="240" w:lineRule="auto"/>
              <w:jc w:val="center"/>
              <w:rPr>
                <w:rFonts w:eastAsia="Times New Roman" w:cstheme="minorHAnsi"/>
                <w:color w:val="000000"/>
                <w:lang w:eastAsia="it-IT"/>
              </w:rPr>
            </w:pPr>
            <w:r w:rsidRPr="00FD09C9">
              <w:rPr>
                <w:rFonts w:eastAsia="Times New Roman" w:cstheme="minorHAnsi"/>
                <w:color w:val="000000"/>
                <w:lang w:eastAsia="it-IT"/>
              </w:rPr>
              <w:t>4,459</w:t>
            </w:r>
          </w:p>
        </w:tc>
        <w:tc>
          <w:tcPr>
            <w:tcW w:w="1276" w:type="dxa"/>
            <w:tcBorders>
              <w:top w:val="single" w:sz="4" w:space="0" w:color="auto"/>
            </w:tcBorders>
            <w:shd w:val="clear" w:color="auto" w:fill="auto"/>
            <w:noWrap/>
            <w:vAlign w:val="center"/>
            <w:hideMark/>
          </w:tcPr>
          <w:p w14:paraId="798A97C0" w14:textId="77777777" w:rsidR="00C40D5E" w:rsidRPr="00FD09C9" w:rsidRDefault="00C40D5E" w:rsidP="00162987">
            <w:pPr>
              <w:spacing w:after="0" w:line="240" w:lineRule="auto"/>
              <w:jc w:val="center"/>
              <w:rPr>
                <w:rFonts w:eastAsia="Times New Roman" w:cstheme="minorHAnsi"/>
                <w:color w:val="000000"/>
                <w:lang w:eastAsia="it-IT"/>
              </w:rPr>
            </w:pPr>
            <w:r w:rsidRPr="00FD09C9">
              <w:rPr>
                <w:rFonts w:eastAsia="Times New Roman" w:cstheme="minorHAnsi"/>
                <w:color w:val="000000"/>
                <w:lang w:eastAsia="it-IT"/>
              </w:rPr>
              <w:t>212.2</w:t>
            </w:r>
          </w:p>
        </w:tc>
        <w:tc>
          <w:tcPr>
            <w:tcW w:w="1134" w:type="dxa"/>
            <w:tcBorders>
              <w:top w:val="single" w:sz="4" w:space="0" w:color="auto"/>
            </w:tcBorders>
            <w:vAlign w:val="center"/>
          </w:tcPr>
          <w:p w14:paraId="54ECA140" w14:textId="77777777" w:rsidR="00C40D5E" w:rsidRPr="00FD09C9" w:rsidRDefault="00C40D5E" w:rsidP="00162987">
            <w:pPr>
              <w:spacing w:after="0" w:line="240" w:lineRule="auto"/>
              <w:jc w:val="center"/>
              <w:rPr>
                <w:rFonts w:eastAsia="Times New Roman" w:cstheme="minorHAnsi"/>
                <w:color w:val="000000"/>
                <w:lang w:eastAsia="it-IT"/>
              </w:rPr>
            </w:pPr>
            <w:r w:rsidRPr="00FD09C9">
              <w:rPr>
                <w:rFonts w:eastAsia="Times New Roman" w:cstheme="minorHAnsi"/>
                <w:color w:val="000000"/>
                <w:lang w:eastAsia="it-IT"/>
              </w:rPr>
              <w:t>12.3</w:t>
            </w:r>
          </w:p>
        </w:tc>
        <w:tc>
          <w:tcPr>
            <w:tcW w:w="1062" w:type="dxa"/>
            <w:tcBorders>
              <w:top w:val="single" w:sz="4" w:space="0" w:color="auto"/>
            </w:tcBorders>
            <w:vAlign w:val="center"/>
          </w:tcPr>
          <w:p w14:paraId="14F301DF" w14:textId="77777777" w:rsidR="00C40D5E" w:rsidRPr="00FD09C9" w:rsidRDefault="00C40D5E" w:rsidP="00162987">
            <w:pPr>
              <w:spacing w:after="0" w:line="240" w:lineRule="auto"/>
              <w:jc w:val="center"/>
              <w:rPr>
                <w:rFonts w:eastAsia="Times New Roman" w:cstheme="minorHAnsi"/>
                <w:color w:val="000000"/>
                <w:lang w:eastAsia="it-IT"/>
              </w:rPr>
            </w:pPr>
            <w:r w:rsidRPr="00FD09C9">
              <w:rPr>
                <w:rFonts w:eastAsia="Times New Roman" w:cstheme="minorHAnsi"/>
                <w:color w:val="000000"/>
                <w:lang w:eastAsia="it-IT"/>
              </w:rPr>
              <w:t>NA</w:t>
            </w:r>
          </w:p>
        </w:tc>
      </w:tr>
      <w:tr w:rsidR="00C40D5E" w:rsidRPr="00FD09C9" w14:paraId="7A48854D" w14:textId="77777777" w:rsidTr="00162987">
        <w:trPr>
          <w:trHeight w:val="283"/>
        </w:trPr>
        <w:tc>
          <w:tcPr>
            <w:tcW w:w="2694" w:type="dxa"/>
            <w:shd w:val="clear" w:color="auto" w:fill="auto"/>
            <w:noWrap/>
            <w:vAlign w:val="center"/>
            <w:hideMark/>
          </w:tcPr>
          <w:p w14:paraId="711EAB11" w14:textId="77777777" w:rsidR="00C40D5E" w:rsidRPr="00FD09C9" w:rsidRDefault="00C40D5E" w:rsidP="00162987">
            <w:pPr>
              <w:spacing w:after="0" w:line="240" w:lineRule="auto"/>
              <w:rPr>
                <w:rFonts w:eastAsia="Times New Roman" w:cstheme="minorHAnsi"/>
                <w:color w:val="000000"/>
                <w:lang w:eastAsia="it-IT"/>
              </w:rPr>
            </w:pPr>
            <w:proofErr w:type="spellStart"/>
            <w:r w:rsidRPr="00FD09C9">
              <w:rPr>
                <w:rFonts w:eastAsia="Times New Roman" w:cstheme="minorHAnsi"/>
                <w:color w:val="000000"/>
                <w:lang w:eastAsia="it-IT"/>
              </w:rPr>
              <w:t>Denmark</w:t>
            </w:r>
            <w:proofErr w:type="spellEnd"/>
            <w:r w:rsidRPr="00FD09C9">
              <w:rPr>
                <w:rFonts w:eastAsia="Times New Roman" w:cstheme="minorHAnsi"/>
                <w:color w:val="000000"/>
                <w:lang w:eastAsia="it-IT"/>
              </w:rPr>
              <w:t xml:space="preserve">: </w:t>
            </w:r>
            <w:proofErr w:type="spellStart"/>
            <w:r w:rsidRPr="00FD09C9">
              <w:rPr>
                <w:rFonts w:eastAsia="Times New Roman" w:cstheme="minorHAnsi"/>
                <w:color w:val="000000"/>
                <w:lang w:eastAsia="it-IT"/>
              </w:rPr>
              <w:t>Funen</w:t>
            </w:r>
            <w:proofErr w:type="spellEnd"/>
          </w:p>
        </w:tc>
        <w:tc>
          <w:tcPr>
            <w:tcW w:w="1134" w:type="dxa"/>
            <w:shd w:val="clear" w:color="auto" w:fill="auto"/>
            <w:noWrap/>
            <w:vAlign w:val="center"/>
            <w:hideMark/>
          </w:tcPr>
          <w:p w14:paraId="40958F94" w14:textId="77777777" w:rsidR="00C40D5E" w:rsidRPr="00FD09C9" w:rsidRDefault="00C40D5E" w:rsidP="00162987">
            <w:pPr>
              <w:spacing w:after="0" w:line="240" w:lineRule="auto"/>
              <w:jc w:val="center"/>
              <w:rPr>
                <w:rFonts w:eastAsia="Times New Roman" w:cstheme="minorHAnsi"/>
                <w:color w:val="000000"/>
                <w:lang w:eastAsia="it-IT"/>
              </w:rPr>
            </w:pPr>
            <w:r w:rsidRPr="00FD09C9">
              <w:rPr>
                <w:rFonts w:eastAsia="Times New Roman" w:cstheme="minorHAnsi"/>
                <w:color w:val="000000"/>
                <w:lang w:eastAsia="it-IT"/>
              </w:rPr>
              <w:t>2005-2014</w:t>
            </w:r>
          </w:p>
        </w:tc>
        <w:tc>
          <w:tcPr>
            <w:tcW w:w="1134" w:type="dxa"/>
          </w:tcPr>
          <w:p w14:paraId="44B209E4" w14:textId="77777777" w:rsidR="00C40D5E" w:rsidRPr="00FD09C9" w:rsidRDefault="00C40D5E" w:rsidP="00162987">
            <w:pPr>
              <w:spacing w:after="0" w:line="240" w:lineRule="auto"/>
              <w:jc w:val="center"/>
              <w:rPr>
                <w:rFonts w:eastAsia="Times New Roman" w:cstheme="minorHAnsi"/>
                <w:color w:val="000000"/>
                <w:lang w:eastAsia="it-IT"/>
              </w:rPr>
            </w:pPr>
            <w:r>
              <w:rPr>
                <w:rFonts w:eastAsia="Times New Roman" w:cstheme="minorHAnsi"/>
                <w:color w:val="000000"/>
                <w:lang w:eastAsia="it-IT"/>
              </w:rPr>
              <w:t>VS</w:t>
            </w:r>
          </w:p>
        </w:tc>
        <w:tc>
          <w:tcPr>
            <w:tcW w:w="1134" w:type="dxa"/>
            <w:shd w:val="clear" w:color="auto" w:fill="auto"/>
            <w:noWrap/>
            <w:vAlign w:val="center"/>
            <w:hideMark/>
          </w:tcPr>
          <w:p w14:paraId="7D324398" w14:textId="77777777" w:rsidR="00C40D5E" w:rsidRPr="00FD09C9" w:rsidRDefault="00C40D5E" w:rsidP="00162987">
            <w:pPr>
              <w:spacing w:after="0" w:line="240" w:lineRule="auto"/>
              <w:jc w:val="center"/>
              <w:rPr>
                <w:rFonts w:eastAsia="Times New Roman" w:cstheme="minorHAnsi"/>
                <w:color w:val="000000"/>
                <w:lang w:eastAsia="it-IT"/>
              </w:rPr>
            </w:pPr>
            <w:r w:rsidRPr="00FD09C9">
              <w:rPr>
                <w:rFonts w:eastAsia="Times New Roman" w:cstheme="minorHAnsi"/>
                <w:color w:val="000000"/>
                <w:lang w:eastAsia="it-IT"/>
              </w:rPr>
              <w:t>1,190</w:t>
            </w:r>
          </w:p>
        </w:tc>
        <w:tc>
          <w:tcPr>
            <w:tcW w:w="1276" w:type="dxa"/>
            <w:shd w:val="clear" w:color="auto" w:fill="auto"/>
            <w:noWrap/>
            <w:vAlign w:val="center"/>
            <w:hideMark/>
          </w:tcPr>
          <w:p w14:paraId="0C582146" w14:textId="77777777" w:rsidR="00C40D5E" w:rsidRPr="00FD09C9" w:rsidRDefault="00C40D5E" w:rsidP="00162987">
            <w:pPr>
              <w:spacing w:after="0" w:line="240" w:lineRule="auto"/>
              <w:jc w:val="center"/>
              <w:rPr>
                <w:rFonts w:eastAsia="Times New Roman" w:cstheme="minorHAnsi"/>
                <w:color w:val="000000"/>
                <w:lang w:eastAsia="it-IT"/>
              </w:rPr>
            </w:pPr>
            <w:r w:rsidRPr="00FD09C9">
              <w:rPr>
                <w:rFonts w:eastAsia="Times New Roman" w:cstheme="minorHAnsi"/>
                <w:color w:val="000000"/>
                <w:lang w:eastAsia="it-IT"/>
              </w:rPr>
              <w:t>241.8</w:t>
            </w:r>
          </w:p>
        </w:tc>
        <w:tc>
          <w:tcPr>
            <w:tcW w:w="1134" w:type="dxa"/>
            <w:vAlign w:val="center"/>
          </w:tcPr>
          <w:p w14:paraId="2C012211" w14:textId="77777777" w:rsidR="00C40D5E" w:rsidRPr="00FD09C9" w:rsidRDefault="00C40D5E" w:rsidP="00162987">
            <w:pPr>
              <w:spacing w:after="0" w:line="240" w:lineRule="auto"/>
              <w:jc w:val="center"/>
              <w:rPr>
                <w:rFonts w:eastAsia="Times New Roman" w:cstheme="minorHAnsi"/>
                <w:color w:val="000000"/>
                <w:lang w:eastAsia="it-IT"/>
              </w:rPr>
            </w:pPr>
            <w:r w:rsidRPr="00FD09C9">
              <w:rPr>
                <w:rFonts w:eastAsia="Times New Roman" w:cstheme="minorHAnsi"/>
                <w:color w:val="000000"/>
                <w:lang w:eastAsia="it-IT"/>
              </w:rPr>
              <w:t>20.8</w:t>
            </w:r>
          </w:p>
        </w:tc>
        <w:tc>
          <w:tcPr>
            <w:tcW w:w="1062" w:type="dxa"/>
            <w:vAlign w:val="center"/>
          </w:tcPr>
          <w:p w14:paraId="4284C363" w14:textId="77777777" w:rsidR="00C40D5E" w:rsidRPr="00FD09C9" w:rsidRDefault="00C40D5E" w:rsidP="00162987">
            <w:pPr>
              <w:spacing w:after="0" w:line="240" w:lineRule="auto"/>
              <w:jc w:val="center"/>
              <w:rPr>
                <w:rFonts w:eastAsia="Times New Roman" w:cstheme="minorHAnsi"/>
                <w:color w:val="000000"/>
                <w:lang w:eastAsia="it-IT"/>
              </w:rPr>
            </w:pPr>
            <w:r w:rsidRPr="00FD09C9">
              <w:rPr>
                <w:rFonts w:eastAsia="Times New Roman" w:cstheme="minorHAnsi"/>
                <w:color w:val="000000"/>
                <w:lang w:eastAsia="it-IT"/>
              </w:rPr>
              <w:t>100.0</w:t>
            </w:r>
          </w:p>
        </w:tc>
      </w:tr>
      <w:tr w:rsidR="00C40D5E" w:rsidRPr="00FD09C9" w14:paraId="65EAE854" w14:textId="77777777" w:rsidTr="00162987">
        <w:trPr>
          <w:trHeight w:val="283"/>
        </w:trPr>
        <w:tc>
          <w:tcPr>
            <w:tcW w:w="2694" w:type="dxa"/>
            <w:shd w:val="clear" w:color="auto" w:fill="auto"/>
            <w:noWrap/>
            <w:vAlign w:val="center"/>
            <w:hideMark/>
          </w:tcPr>
          <w:p w14:paraId="4B2EE118" w14:textId="77777777" w:rsidR="00C40D5E" w:rsidRPr="00FD09C9" w:rsidRDefault="00C40D5E" w:rsidP="00162987">
            <w:pPr>
              <w:spacing w:after="0" w:line="240" w:lineRule="auto"/>
              <w:rPr>
                <w:rFonts w:eastAsia="Times New Roman" w:cstheme="minorHAnsi"/>
                <w:color w:val="000000"/>
                <w:lang w:eastAsia="it-IT"/>
              </w:rPr>
            </w:pPr>
            <w:proofErr w:type="spellStart"/>
            <w:r w:rsidRPr="00FD09C9">
              <w:rPr>
                <w:rFonts w:eastAsia="Times New Roman" w:cstheme="minorHAnsi"/>
                <w:color w:val="000000"/>
                <w:lang w:eastAsia="it-IT"/>
              </w:rPr>
              <w:t>Finland</w:t>
            </w:r>
            <w:proofErr w:type="spellEnd"/>
          </w:p>
        </w:tc>
        <w:tc>
          <w:tcPr>
            <w:tcW w:w="1134" w:type="dxa"/>
            <w:shd w:val="clear" w:color="auto" w:fill="auto"/>
            <w:noWrap/>
            <w:vAlign w:val="center"/>
            <w:hideMark/>
          </w:tcPr>
          <w:p w14:paraId="607E34F3" w14:textId="77777777" w:rsidR="00C40D5E" w:rsidRPr="00FD09C9" w:rsidRDefault="00C40D5E" w:rsidP="00162987">
            <w:pPr>
              <w:spacing w:after="0" w:line="240" w:lineRule="auto"/>
              <w:jc w:val="center"/>
              <w:rPr>
                <w:rFonts w:eastAsia="Times New Roman" w:cstheme="minorHAnsi"/>
                <w:color w:val="000000"/>
                <w:lang w:eastAsia="it-IT"/>
              </w:rPr>
            </w:pPr>
            <w:r w:rsidRPr="00FD09C9">
              <w:rPr>
                <w:rFonts w:eastAsia="Times New Roman" w:cstheme="minorHAnsi"/>
                <w:color w:val="000000"/>
                <w:lang w:eastAsia="it-IT"/>
              </w:rPr>
              <w:t>2005-2014</w:t>
            </w:r>
          </w:p>
        </w:tc>
        <w:tc>
          <w:tcPr>
            <w:tcW w:w="1134" w:type="dxa"/>
          </w:tcPr>
          <w:p w14:paraId="64C2494F" w14:textId="77777777" w:rsidR="00C40D5E" w:rsidRPr="00FD09C9" w:rsidRDefault="00C40D5E" w:rsidP="00162987">
            <w:pPr>
              <w:spacing w:after="0" w:line="240" w:lineRule="auto"/>
              <w:jc w:val="center"/>
              <w:rPr>
                <w:rFonts w:eastAsia="Times New Roman" w:cstheme="minorHAnsi"/>
                <w:color w:val="000000"/>
                <w:lang w:eastAsia="it-IT"/>
              </w:rPr>
            </w:pPr>
            <w:r>
              <w:rPr>
                <w:rFonts w:eastAsia="Times New Roman" w:cstheme="minorHAnsi"/>
                <w:color w:val="000000"/>
                <w:lang w:eastAsia="it-IT"/>
              </w:rPr>
              <w:t>VS</w:t>
            </w:r>
          </w:p>
        </w:tc>
        <w:tc>
          <w:tcPr>
            <w:tcW w:w="1134" w:type="dxa"/>
            <w:shd w:val="clear" w:color="auto" w:fill="auto"/>
            <w:noWrap/>
            <w:vAlign w:val="center"/>
            <w:hideMark/>
          </w:tcPr>
          <w:p w14:paraId="0C833F48" w14:textId="77777777" w:rsidR="00C40D5E" w:rsidRPr="00FD09C9" w:rsidRDefault="00C40D5E" w:rsidP="00162987">
            <w:pPr>
              <w:spacing w:after="0" w:line="240" w:lineRule="auto"/>
              <w:jc w:val="center"/>
              <w:rPr>
                <w:rFonts w:eastAsia="Times New Roman" w:cstheme="minorHAnsi"/>
                <w:color w:val="000000"/>
                <w:lang w:eastAsia="it-IT"/>
              </w:rPr>
            </w:pPr>
            <w:r w:rsidRPr="00FD09C9">
              <w:rPr>
                <w:rFonts w:eastAsia="Times New Roman" w:cstheme="minorHAnsi"/>
                <w:color w:val="000000"/>
                <w:lang w:eastAsia="it-IT"/>
              </w:rPr>
              <w:t>24,554</w:t>
            </w:r>
          </w:p>
        </w:tc>
        <w:tc>
          <w:tcPr>
            <w:tcW w:w="1276" w:type="dxa"/>
            <w:shd w:val="clear" w:color="auto" w:fill="auto"/>
            <w:noWrap/>
            <w:vAlign w:val="center"/>
            <w:hideMark/>
          </w:tcPr>
          <w:p w14:paraId="221F6FFF" w14:textId="77777777" w:rsidR="00C40D5E" w:rsidRPr="00FD09C9" w:rsidRDefault="00C40D5E" w:rsidP="00162987">
            <w:pPr>
              <w:spacing w:after="0" w:line="240" w:lineRule="auto"/>
              <w:jc w:val="center"/>
              <w:rPr>
                <w:rFonts w:eastAsia="Times New Roman" w:cstheme="minorHAnsi"/>
                <w:color w:val="000000"/>
                <w:lang w:eastAsia="it-IT"/>
              </w:rPr>
            </w:pPr>
            <w:r w:rsidRPr="00FD09C9">
              <w:rPr>
                <w:rFonts w:eastAsia="Times New Roman" w:cstheme="minorHAnsi"/>
                <w:color w:val="000000"/>
                <w:lang w:eastAsia="it-IT"/>
              </w:rPr>
              <w:t>454.7</w:t>
            </w:r>
          </w:p>
        </w:tc>
        <w:tc>
          <w:tcPr>
            <w:tcW w:w="1134" w:type="dxa"/>
            <w:vAlign w:val="center"/>
          </w:tcPr>
          <w:p w14:paraId="2B183E03" w14:textId="77777777" w:rsidR="00C40D5E" w:rsidRPr="00FD09C9" w:rsidRDefault="00C40D5E" w:rsidP="00162987">
            <w:pPr>
              <w:spacing w:after="0" w:line="240" w:lineRule="auto"/>
              <w:jc w:val="center"/>
              <w:rPr>
                <w:rFonts w:eastAsia="Times New Roman" w:cstheme="minorHAnsi"/>
                <w:color w:val="000000"/>
                <w:lang w:eastAsia="it-IT"/>
              </w:rPr>
            </w:pPr>
            <w:r w:rsidRPr="00FD09C9">
              <w:rPr>
                <w:rFonts w:eastAsia="Times New Roman" w:cstheme="minorHAnsi"/>
                <w:color w:val="000000"/>
                <w:lang w:eastAsia="it-IT"/>
              </w:rPr>
              <w:t>10.6</w:t>
            </w:r>
          </w:p>
        </w:tc>
        <w:tc>
          <w:tcPr>
            <w:tcW w:w="1062" w:type="dxa"/>
            <w:vAlign w:val="center"/>
          </w:tcPr>
          <w:p w14:paraId="5C0FD1A7" w14:textId="77777777" w:rsidR="00C40D5E" w:rsidRPr="00FD09C9" w:rsidRDefault="00C40D5E" w:rsidP="00162987">
            <w:pPr>
              <w:spacing w:after="0" w:line="240" w:lineRule="auto"/>
              <w:jc w:val="center"/>
              <w:rPr>
                <w:rFonts w:eastAsia="Times New Roman" w:cstheme="minorHAnsi"/>
                <w:color w:val="000000"/>
                <w:lang w:eastAsia="it-IT"/>
              </w:rPr>
            </w:pPr>
            <w:r w:rsidRPr="00FD09C9">
              <w:rPr>
                <w:rFonts w:eastAsia="Times New Roman" w:cstheme="minorHAnsi"/>
                <w:color w:val="000000"/>
                <w:lang w:eastAsia="it-IT"/>
              </w:rPr>
              <w:t>100.0</w:t>
            </w:r>
          </w:p>
        </w:tc>
      </w:tr>
      <w:tr w:rsidR="00C40D5E" w:rsidRPr="00FD09C9" w14:paraId="2E9D51B6" w14:textId="77777777" w:rsidTr="00162987">
        <w:trPr>
          <w:trHeight w:val="283"/>
        </w:trPr>
        <w:tc>
          <w:tcPr>
            <w:tcW w:w="2694" w:type="dxa"/>
            <w:shd w:val="clear" w:color="auto" w:fill="auto"/>
            <w:noWrap/>
            <w:vAlign w:val="center"/>
            <w:hideMark/>
          </w:tcPr>
          <w:p w14:paraId="7FDFD799" w14:textId="77777777" w:rsidR="00C40D5E" w:rsidRPr="00FD09C9" w:rsidRDefault="00C40D5E" w:rsidP="00162987">
            <w:pPr>
              <w:spacing w:after="0" w:line="240" w:lineRule="auto"/>
              <w:rPr>
                <w:rFonts w:eastAsia="Times New Roman" w:cstheme="minorHAnsi"/>
                <w:color w:val="000000"/>
                <w:lang w:eastAsia="it-IT"/>
              </w:rPr>
            </w:pPr>
            <w:r w:rsidRPr="00FD09C9">
              <w:rPr>
                <w:rFonts w:eastAsia="Times New Roman" w:cstheme="minorHAnsi"/>
                <w:color w:val="000000"/>
                <w:lang w:eastAsia="it-IT"/>
              </w:rPr>
              <w:t>France: Paris</w:t>
            </w:r>
          </w:p>
        </w:tc>
        <w:tc>
          <w:tcPr>
            <w:tcW w:w="1134" w:type="dxa"/>
            <w:shd w:val="clear" w:color="auto" w:fill="auto"/>
            <w:noWrap/>
            <w:vAlign w:val="center"/>
            <w:hideMark/>
          </w:tcPr>
          <w:p w14:paraId="495EF6CD" w14:textId="77777777" w:rsidR="00C40D5E" w:rsidRPr="00FD09C9" w:rsidRDefault="00C40D5E" w:rsidP="00162987">
            <w:pPr>
              <w:spacing w:after="0" w:line="240" w:lineRule="auto"/>
              <w:jc w:val="center"/>
              <w:rPr>
                <w:rFonts w:eastAsia="Times New Roman" w:cstheme="minorHAnsi"/>
                <w:color w:val="000000"/>
                <w:lang w:eastAsia="it-IT"/>
              </w:rPr>
            </w:pPr>
            <w:r w:rsidRPr="00FD09C9">
              <w:rPr>
                <w:rFonts w:eastAsia="Times New Roman" w:cstheme="minorHAnsi"/>
                <w:color w:val="000000"/>
                <w:lang w:eastAsia="it-IT"/>
              </w:rPr>
              <w:t>2005-2014</w:t>
            </w:r>
          </w:p>
        </w:tc>
        <w:tc>
          <w:tcPr>
            <w:tcW w:w="1134" w:type="dxa"/>
          </w:tcPr>
          <w:p w14:paraId="5B2EF7CE" w14:textId="77777777" w:rsidR="00C40D5E" w:rsidRPr="00FD09C9" w:rsidRDefault="00C40D5E" w:rsidP="00162987">
            <w:pPr>
              <w:spacing w:after="0" w:line="240" w:lineRule="auto"/>
              <w:jc w:val="center"/>
              <w:rPr>
                <w:rFonts w:eastAsia="Times New Roman" w:cstheme="minorHAnsi"/>
                <w:color w:val="000000"/>
                <w:lang w:eastAsia="it-IT"/>
              </w:rPr>
            </w:pPr>
            <w:r>
              <w:rPr>
                <w:rFonts w:eastAsia="Times New Roman" w:cstheme="minorHAnsi"/>
                <w:color w:val="000000"/>
                <w:lang w:eastAsia="it-IT"/>
              </w:rPr>
              <w:t>VS</w:t>
            </w:r>
          </w:p>
        </w:tc>
        <w:tc>
          <w:tcPr>
            <w:tcW w:w="1134" w:type="dxa"/>
            <w:shd w:val="clear" w:color="auto" w:fill="auto"/>
            <w:noWrap/>
            <w:vAlign w:val="center"/>
            <w:hideMark/>
          </w:tcPr>
          <w:p w14:paraId="33E571CE" w14:textId="77777777" w:rsidR="00C40D5E" w:rsidRPr="00FD09C9" w:rsidRDefault="00C40D5E" w:rsidP="00162987">
            <w:pPr>
              <w:spacing w:after="0" w:line="240" w:lineRule="auto"/>
              <w:jc w:val="center"/>
              <w:rPr>
                <w:rFonts w:eastAsia="Times New Roman" w:cstheme="minorHAnsi"/>
                <w:color w:val="000000"/>
                <w:lang w:eastAsia="it-IT"/>
              </w:rPr>
            </w:pPr>
            <w:r w:rsidRPr="00FD09C9">
              <w:rPr>
                <w:rFonts w:eastAsia="Times New Roman" w:cstheme="minorHAnsi"/>
                <w:color w:val="000000"/>
                <w:lang w:eastAsia="it-IT"/>
              </w:rPr>
              <w:t>5,734</w:t>
            </w:r>
          </w:p>
        </w:tc>
        <w:tc>
          <w:tcPr>
            <w:tcW w:w="1276" w:type="dxa"/>
            <w:shd w:val="clear" w:color="auto" w:fill="auto"/>
            <w:noWrap/>
            <w:vAlign w:val="center"/>
            <w:hideMark/>
          </w:tcPr>
          <w:p w14:paraId="044BA8C2" w14:textId="77777777" w:rsidR="00C40D5E" w:rsidRPr="00FD09C9" w:rsidRDefault="00C40D5E" w:rsidP="00162987">
            <w:pPr>
              <w:spacing w:after="0" w:line="240" w:lineRule="auto"/>
              <w:jc w:val="center"/>
              <w:rPr>
                <w:rFonts w:eastAsia="Times New Roman" w:cstheme="minorHAnsi"/>
                <w:color w:val="000000"/>
                <w:lang w:eastAsia="it-IT"/>
              </w:rPr>
            </w:pPr>
            <w:r w:rsidRPr="00FD09C9">
              <w:rPr>
                <w:rFonts w:eastAsia="Times New Roman" w:cstheme="minorHAnsi"/>
                <w:color w:val="000000"/>
                <w:lang w:eastAsia="it-IT"/>
              </w:rPr>
              <w:t>218.6</w:t>
            </w:r>
          </w:p>
        </w:tc>
        <w:tc>
          <w:tcPr>
            <w:tcW w:w="1134" w:type="dxa"/>
            <w:vAlign w:val="center"/>
          </w:tcPr>
          <w:p w14:paraId="6595C170" w14:textId="77777777" w:rsidR="00C40D5E" w:rsidRPr="00FD09C9" w:rsidRDefault="00C40D5E" w:rsidP="00162987">
            <w:pPr>
              <w:spacing w:after="0" w:line="240" w:lineRule="auto"/>
              <w:jc w:val="center"/>
              <w:rPr>
                <w:rFonts w:eastAsia="Times New Roman" w:cstheme="minorHAnsi"/>
                <w:color w:val="000000"/>
                <w:lang w:eastAsia="it-IT"/>
              </w:rPr>
            </w:pPr>
            <w:r w:rsidRPr="00FD09C9">
              <w:rPr>
                <w:rFonts w:eastAsia="Times New Roman" w:cstheme="minorHAnsi"/>
                <w:color w:val="000000"/>
                <w:lang w:eastAsia="it-IT"/>
              </w:rPr>
              <w:t>31.7</w:t>
            </w:r>
          </w:p>
        </w:tc>
        <w:tc>
          <w:tcPr>
            <w:tcW w:w="1062" w:type="dxa"/>
            <w:vAlign w:val="center"/>
          </w:tcPr>
          <w:p w14:paraId="3D2AD0E9" w14:textId="77777777" w:rsidR="00C40D5E" w:rsidRPr="00FD09C9" w:rsidRDefault="00C40D5E" w:rsidP="00162987">
            <w:pPr>
              <w:spacing w:after="0" w:line="240" w:lineRule="auto"/>
              <w:jc w:val="center"/>
              <w:rPr>
                <w:rFonts w:eastAsia="Times New Roman" w:cstheme="minorHAnsi"/>
                <w:color w:val="000000"/>
                <w:lang w:eastAsia="it-IT"/>
              </w:rPr>
            </w:pPr>
            <w:r w:rsidRPr="00FD09C9">
              <w:rPr>
                <w:rFonts w:eastAsia="Times New Roman" w:cstheme="minorHAnsi"/>
                <w:color w:val="000000"/>
                <w:lang w:eastAsia="it-IT"/>
              </w:rPr>
              <w:t>99.2</w:t>
            </w:r>
          </w:p>
        </w:tc>
      </w:tr>
      <w:tr w:rsidR="00C40D5E" w:rsidRPr="00FD09C9" w14:paraId="4A3AC551" w14:textId="77777777" w:rsidTr="00162987">
        <w:trPr>
          <w:trHeight w:val="283"/>
        </w:trPr>
        <w:tc>
          <w:tcPr>
            <w:tcW w:w="2694" w:type="dxa"/>
            <w:shd w:val="clear" w:color="auto" w:fill="auto"/>
            <w:noWrap/>
            <w:vAlign w:val="center"/>
            <w:hideMark/>
          </w:tcPr>
          <w:p w14:paraId="64548F80" w14:textId="77777777" w:rsidR="00C40D5E" w:rsidRPr="00FD09C9" w:rsidRDefault="00C40D5E" w:rsidP="00162987">
            <w:pPr>
              <w:spacing w:after="0" w:line="240" w:lineRule="auto"/>
              <w:rPr>
                <w:rFonts w:eastAsia="Times New Roman" w:cstheme="minorHAnsi"/>
                <w:color w:val="000000"/>
                <w:lang w:eastAsia="it-IT"/>
              </w:rPr>
            </w:pPr>
            <w:r w:rsidRPr="00FD09C9">
              <w:rPr>
                <w:rFonts w:eastAsia="Times New Roman" w:cstheme="minorHAnsi"/>
                <w:color w:val="000000"/>
                <w:lang w:eastAsia="it-IT"/>
              </w:rPr>
              <w:t xml:space="preserve">Germany: </w:t>
            </w:r>
            <w:proofErr w:type="spellStart"/>
            <w:r w:rsidRPr="00FD09C9">
              <w:rPr>
                <w:rFonts w:eastAsia="Times New Roman" w:cstheme="minorHAnsi"/>
                <w:color w:val="000000"/>
                <w:lang w:eastAsia="it-IT"/>
              </w:rPr>
              <w:t>Saxony-Anhalt</w:t>
            </w:r>
            <w:proofErr w:type="spellEnd"/>
          </w:p>
        </w:tc>
        <w:tc>
          <w:tcPr>
            <w:tcW w:w="1134" w:type="dxa"/>
            <w:shd w:val="clear" w:color="auto" w:fill="auto"/>
            <w:noWrap/>
            <w:vAlign w:val="center"/>
            <w:hideMark/>
          </w:tcPr>
          <w:p w14:paraId="1B122048" w14:textId="77777777" w:rsidR="00C40D5E" w:rsidRPr="00FD09C9" w:rsidRDefault="00C40D5E" w:rsidP="00162987">
            <w:pPr>
              <w:spacing w:after="0" w:line="240" w:lineRule="auto"/>
              <w:jc w:val="center"/>
              <w:rPr>
                <w:rFonts w:eastAsia="Times New Roman" w:cstheme="minorHAnsi"/>
                <w:color w:val="000000"/>
                <w:lang w:eastAsia="it-IT"/>
              </w:rPr>
            </w:pPr>
            <w:r w:rsidRPr="00FD09C9">
              <w:rPr>
                <w:rFonts w:eastAsia="Times New Roman" w:cstheme="minorHAnsi"/>
                <w:color w:val="000000"/>
                <w:lang w:eastAsia="it-IT"/>
              </w:rPr>
              <w:t>2005-2014</w:t>
            </w:r>
          </w:p>
        </w:tc>
        <w:tc>
          <w:tcPr>
            <w:tcW w:w="1134" w:type="dxa"/>
          </w:tcPr>
          <w:p w14:paraId="216D2A86" w14:textId="77777777" w:rsidR="00C40D5E" w:rsidRPr="00FD09C9" w:rsidRDefault="00C40D5E" w:rsidP="00162987">
            <w:pPr>
              <w:spacing w:after="0" w:line="240" w:lineRule="auto"/>
              <w:jc w:val="center"/>
              <w:rPr>
                <w:rFonts w:eastAsia="Times New Roman" w:cstheme="minorHAnsi"/>
                <w:color w:val="000000"/>
                <w:lang w:eastAsia="it-IT"/>
              </w:rPr>
            </w:pPr>
            <w:r>
              <w:rPr>
                <w:rFonts w:eastAsia="Times New Roman" w:cstheme="minorHAnsi"/>
                <w:color w:val="000000"/>
                <w:lang w:eastAsia="it-IT"/>
              </w:rPr>
              <w:t>MR</w:t>
            </w:r>
          </w:p>
        </w:tc>
        <w:tc>
          <w:tcPr>
            <w:tcW w:w="1134" w:type="dxa"/>
            <w:shd w:val="clear" w:color="auto" w:fill="auto"/>
            <w:noWrap/>
            <w:vAlign w:val="center"/>
            <w:hideMark/>
          </w:tcPr>
          <w:p w14:paraId="74050B47" w14:textId="77777777" w:rsidR="00C40D5E" w:rsidRPr="00FD09C9" w:rsidRDefault="00C40D5E" w:rsidP="00162987">
            <w:pPr>
              <w:spacing w:after="0" w:line="240" w:lineRule="auto"/>
              <w:jc w:val="center"/>
              <w:rPr>
                <w:rFonts w:eastAsia="Times New Roman" w:cstheme="minorHAnsi"/>
                <w:color w:val="000000"/>
                <w:lang w:eastAsia="it-IT"/>
              </w:rPr>
            </w:pPr>
            <w:r w:rsidRPr="00FD09C9">
              <w:rPr>
                <w:rFonts w:eastAsia="Times New Roman" w:cstheme="minorHAnsi"/>
                <w:color w:val="000000"/>
                <w:lang w:eastAsia="it-IT"/>
              </w:rPr>
              <w:t>4,667</w:t>
            </w:r>
          </w:p>
        </w:tc>
        <w:tc>
          <w:tcPr>
            <w:tcW w:w="1276" w:type="dxa"/>
            <w:shd w:val="clear" w:color="auto" w:fill="auto"/>
            <w:noWrap/>
            <w:vAlign w:val="center"/>
            <w:hideMark/>
          </w:tcPr>
          <w:p w14:paraId="008E9044" w14:textId="77777777" w:rsidR="00C40D5E" w:rsidRPr="00FD09C9" w:rsidRDefault="00C40D5E" w:rsidP="00162987">
            <w:pPr>
              <w:spacing w:after="0" w:line="240" w:lineRule="auto"/>
              <w:jc w:val="center"/>
              <w:rPr>
                <w:rFonts w:eastAsia="Times New Roman" w:cstheme="minorHAnsi"/>
                <w:color w:val="000000"/>
                <w:lang w:eastAsia="it-IT"/>
              </w:rPr>
            </w:pPr>
            <w:r w:rsidRPr="00FD09C9">
              <w:rPr>
                <w:rFonts w:eastAsia="Times New Roman" w:cstheme="minorHAnsi"/>
                <w:color w:val="000000"/>
                <w:lang w:eastAsia="it-IT"/>
              </w:rPr>
              <w:t>270.8</w:t>
            </w:r>
          </w:p>
        </w:tc>
        <w:tc>
          <w:tcPr>
            <w:tcW w:w="1134" w:type="dxa"/>
            <w:vAlign w:val="center"/>
          </w:tcPr>
          <w:p w14:paraId="784142B6" w14:textId="77777777" w:rsidR="00C40D5E" w:rsidRPr="00FD09C9" w:rsidRDefault="00C40D5E" w:rsidP="00162987">
            <w:pPr>
              <w:spacing w:after="0" w:line="240" w:lineRule="auto"/>
              <w:jc w:val="center"/>
              <w:rPr>
                <w:rFonts w:eastAsia="Times New Roman" w:cstheme="minorHAnsi"/>
                <w:color w:val="000000"/>
                <w:lang w:eastAsia="it-IT"/>
              </w:rPr>
            </w:pPr>
            <w:r w:rsidRPr="00FD09C9">
              <w:rPr>
                <w:rFonts w:eastAsia="Times New Roman" w:cstheme="minorHAnsi"/>
                <w:color w:val="000000"/>
                <w:lang w:eastAsia="it-IT"/>
              </w:rPr>
              <w:t>11.0</w:t>
            </w:r>
          </w:p>
        </w:tc>
        <w:tc>
          <w:tcPr>
            <w:tcW w:w="1062" w:type="dxa"/>
            <w:vAlign w:val="center"/>
          </w:tcPr>
          <w:p w14:paraId="7AA9414B" w14:textId="77777777" w:rsidR="00C40D5E" w:rsidRPr="00FD09C9" w:rsidRDefault="00C40D5E" w:rsidP="00162987">
            <w:pPr>
              <w:spacing w:after="0" w:line="240" w:lineRule="auto"/>
              <w:jc w:val="center"/>
              <w:rPr>
                <w:rFonts w:eastAsia="Times New Roman" w:cstheme="minorHAnsi"/>
                <w:color w:val="000000"/>
                <w:lang w:eastAsia="it-IT"/>
              </w:rPr>
            </w:pPr>
            <w:r w:rsidRPr="00FD09C9">
              <w:rPr>
                <w:rFonts w:eastAsia="Times New Roman" w:cstheme="minorHAnsi"/>
                <w:color w:val="000000"/>
                <w:lang w:eastAsia="it-IT"/>
              </w:rPr>
              <w:t>NA</w:t>
            </w:r>
          </w:p>
        </w:tc>
      </w:tr>
      <w:tr w:rsidR="00C40D5E" w:rsidRPr="00FD09C9" w14:paraId="5DB6D5BC" w14:textId="77777777" w:rsidTr="00162987">
        <w:trPr>
          <w:trHeight w:val="283"/>
        </w:trPr>
        <w:tc>
          <w:tcPr>
            <w:tcW w:w="2694" w:type="dxa"/>
            <w:shd w:val="clear" w:color="auto" w:fill="auto"/>
            <w:noWrap/>
            <w:vAlign w:val="center"/>
            <w:hideMark/>
          </w:tcPr>
          <w:p w14:paraId="4BB0A3FE" w14:textId="77777777" w:rsidR="00C40D5E" w:rsidRPr="00FD09C9" w:rsidRDefault="00C40D5E" w:rsidP="00162987">
            <w:pPr>
              <w:spacing w:after="0" w:line="240" w:lineRule="auto"/>
              <w:rPr>
                <w:rFonts w:eastAsia="Times New Roman" w:cstheme="minorHAnsi"/>
                <w:color w:val="000000"/>
                <w:lang w:eastAsia="it-IT"/>
              </w:rPr>
            </w:pPr>
            <w:proofErr w:type="spellStart"/>
            <w:r w:rsidRPr="00FD09C9">
              <w:rPr>
                <w:rFonts w:eastAsia="Times New Roman" w:cstheme="minorHAnsi"/>
                <w:color w:val="000000"/>
                <w:lang w:eastAsia="it-IT"/>
              </w:rPr>
              <w:t>Italy</w:t>
            </w:r>
            <w:proofErr w:type="spellEnd"/>
            <w:r w:rsidRPr="00FD09C9">
              <w:rPr>
                <w:rFonts w:eastAsia="Times New Roman" w:cstheme="minorHAnsi"/>
                <w:color w:val="000000"/>
                <w:lang w:eastAsia="it-IT"/>
              </w:rPr>
              <w:t>: Emilia Romagna</w:t>
            </w:r>
          </w:p>
        </w:tc>
        <w:tc>
          <w:tcPr>
            <w:tcW w:w="1134" w:type="dxa"/>
            <w:shd w:val="clear" w:color="auto" w:fill="auto"/>
            <w:noWrap/>
            <w:vAlign w:val="center"/>
            <w:hideMark/>
          </w:tcPr>
          <w:p w14:paraId="529032DF" w14:textId="77777777" w:rsidR="00C40D5E" w:rsidRPr="00FD09C9" w:rsidRDefault="00C40D5E" w:rsidP="00162987">
            <w:pPr>
              <w:spacing w:after="0" w:line="240" w:lineRule="auto"/>
              <w:jc w:val="center"/>
              <w:rPr>
                <w:rFonts w:eastAsia="Times New Roman" w:cstheme="minorHAnsi"/>
                <w:color w:val="000000"/>
                <w:lang w:eastAsia="it-IT"/>
              </w:rPr>
            </w:pPr>
            <w:r w:rsidRPr="00FD09C9">
              <w:rPr>
                <w:rFonts w:eastAsia="Times New Roman" w:cstheme="minorHAnsi"/>
                <w:color w:val="000000"/>
                <w:lang w:eastAsia="it-IT"/>
              </w:rPr>
              <w:t>2008-2014</w:t>
            </w:r>
          </w:p>
        </w:tc>
        <w:tc>
          <w:tcPr>
            <w:tcW w:w="1134" w:type="dxa"/>
          </w:tcPr>
          <w:p w14:paraId="00FC6890" w14:textId="77777777" w:rsidR="00C40D5E" w:rsidRPr="00FD09C9" w:rsidRDefault="00C40D5E" w:rsidP="00162987">
            <w:pPr>
              <w:spacing w:after="0" w:line="240" w:lineRule="auto"/>
              <w:jc w:val="center"/>
              <w:rPr>
                <w:rFonts w:eastAsia="Times New Roman" w:cstheme="minorHAnsi"/>
                <w:color w:val="000000"/>
                <w:lang w:eastAsia="it-IT"/>
              </w:rPr>
            </w:pPr>
            <w:r>
              <w:rPr>
                <w:rFonts w:eastAsia="Times New Roman" w:cstheme="minorHAnsi"/>
                <w:color w:val="000000"/>
                <w:lang w:eastAsia="it-IT"/>
              </w:rPr>
              <w:t>VS</w:t>
            </w:r>
          </w:p>
        </w:tc>
        <w:tc>
          <w:tcPr>
            <w:tcW w:w="1134" w:type="dxa"/>
            <w:shd w:val="clear" w:color="auto" w:fill="auto"/>
            <w:noWrap/>
            <w:vAlign w:val="center"/>
            <w:hideMark/>
          </w:tcPr>
          <w:p w14:paraId="6E43FDBA" w14:textId="77777777" w:rsidR="00C40D5E" w:rsidRPr="00FD09C9" w:rsidRDefault="00C40D5E" w:rsidP="00162987">
            <w:pPr>
              <w:spacing w:after="0" w:line="240" w:lineRule="auto"/>
              <w:jc w:val="center"/>
              <w:rPr>
                <w:rFonts w:eastAsia="Times New Roman" w:cstheme="minorHAnsi"/>
                <w:color w:val="000000"/>
                <w:lang w:eastAsia="it-IT"/>
              </w:rPr>
            </w:pPr>
            <w:r w:rsidRPr="00FD09C9">
              <w:rPr>
                <w:rFonts w:eastAsia="Times New Roman" w:cstheme="minorHAnsi"/>
                <w:color w:val="000000"/>
                <w:lang w:eastAsia="it-IT"/>
              </w:rPr>
              <w:t>5,589</w:t>
            </w:r>
          </w:p>
        </w:tc>
        <w:tc>
          <w:tcPr>
            <w:tcW w:w="1276" w:type="dxa"/>
            <w:shd w:val="clear" w:color="auto" w:fill="auto"/>
            <w:noWrap/>
            <w:vAlign w:val="center"/>
            <w:hideMark/>
          </w:tcPr>
          <w:p w14:paraId="4169C939" w14:textId="77777777" w:rsidR="00C40D5E" w:rsidRPr="00FD09C9" w:rsidRDefault="00C40D5E" w:rsidP="00162987">
            <w:pPr>
              <w:spacing w:after="0" w:line="240" w:lineRule="auto"/>
              <w:jc w:val="center"/>
              <w:rPr>
                <w:rFonts w:eastAsia="Times New Roman" w:cstheme="minorHAnsi"/>
                <w:color w:val="000000"/>
                <w:lang w:eastAsia="it-IT"/>
              </w:rPr>
            </w:pPr>
            <w:r w:rsidRPr="00FD09C9">
              <w:rPr>
                <w:rFonts w:eastAsia="Times New Roman" w:cstheme="minorHAnsi"/>
                <w:color w:val="000000"/>
                <w:lang w:eastAsia="it-IT"/>
              </w:rPr>
              <w:t>204.8</w:t>
            </w:r>
          </w:p>
        </w:tc>
        <w:tc>
          <w:tcPr>
            <w:tcW w:w="1134" w:type="dxa"/>
            <w:vAlign w:val="center"/>
          </w:tcPr>
          <w:p w14:paraId="12597071" w14:textId="77777777" w:rsidR="00C40D5E" w:rsidRPr="00FD09C9" w:rsidRDefault="00C40D5E" w:rsidP="00162987">
            <w:pPr>
              <w:spacing w:after="0" w:line="240" w:lineRule="auto"/>
              <w:jc w:val="center"/>
              <w:rPr>
                <w:rFonts w:eastAsia="Times New Roman" w:cstheme="minorHAnsi"/>
                <w:color w:val="000000"/>
                <w:lang w:eastAsia="it-IT"/>
              </w:rPr>
            </w:pPr>
            <w:r w:rsidRPr="00FD09C9">
              <w:rPr>
                <w:rFonts w:eastAsia="Times New Roman" w:cstheme="minorHAnsi"/>
                <w:color w:val="000000"/>
                <w:lang w:eastAsia="it-IT"/>
              </w:rPr>
              <w:t>16.4</w:t>
            </w:r>
          </w:p>
        </w:tc>
        <w:tc>
          <w:tcPr>
            <w:tcW w:w="1062" w:type="dxa"/>
            <w:vAlign w:val="center"/>
          </w:tcPr>
          <w:p w14:paraId="0C3B65A3" w14:textId="77777777" w:rsidR="00C40D5E" w:rsidRPr="00FD09C9" w:rsidRDefault="00C40D5E" w:rsidP="00162987">
            <w:pPr>
              <w:spacing w:after="0" w:line="240" w:lineRule="auto"/>
              <w:jc w:val="center"/>
              <w:rPr>
                <w:rFonts w:eastAsia="Times New Roman" w:cstheme="minorHAnsi"/>
                <w:color w:val="000000"/>
                <w:lang w:eastAsia="it-IT"/>
              </w:rPr>
            </w:pPr>
            <w:r w:rsidRPr="00FD09C9">
              <w:rPr>
                <w:rFonts w:eastAsia="Times New Roman" w:cstheme="minorHAnsi"/>
                <w:color w:val="000000"/>
                <w:lang w:eastAsia="it-IT"/>
              </w:rPr>
              <w:t>92.1</w:t>
            </w:r>
          </w:p>
        </w:tc>
      </w:tr>
      <w:tr w:rsidR="00C40D5E" w:rsidRPr="00FD09C9" w14:paraId="181375D4" w14:textId="77777777" w:rsidTr="00162987">
        <w:trPr>
          <w:trHeight w:val="283"/>
        </w:trPr>
        <w:tc>
          <w:tcPr>
            <w:tcW w:w="2694" w:type="dxa"/>
            <w:shd w:val="clear" w:color="auto" w:fill="auto"/>
            <w:noWrap/>
            <w:vAlign w:val="center"/>
            <w:hideMark/>
          </w:tcPr>
          <w:p w14:paraId="4A327DFD" w14:textId="77777777" w:rsidR="00C40D5E" w:rsidRPr="00FD09C9" w:rsidRDefault="00C40D5E" w:rsidP="00162987">
            <w:pPr>
              <w:spacing w:after="0" w:line="240" w:lineRule="auto"/>
              <w:rPr>
                <w:rFonts w:eastAsia="Times New Roman" w:cstheme="minorHAnsi"/>
                <w:color w:val="000000"/>
                <w:lang w:eastAsia="it-IT"/>
              </w:rPr>
            </w:pPr>
            <w:proofErr w:type="spellStart"/>
            <w:r w:rsidRPr="00FD09C9">
              <w:rPr>
                <w:rFonts w:eastAsia="Times New Roman" w:cstheme="minorHAnsi"/>
                <w:color w:val="000000"/>
                <w:lang w:eastAsia="it-IT"/>
              </w:rPr>
              <w:t>Italy</w:t>
            </w:r>
            <w:proofErr w:type="spellEnd"/>
            <w:r w:rsidRPr="00FD09C9">
              <w:rPr>
                <w:rFonts w:eastAsia="Times New Roman" w:cstheme="minorHAnsi"/>
                <w:color w:val="000000"/>
                <w:lang w:eastAsia="it-IT"/>
              </w:rPr>
              <w:t xml:space="preserve">: </w:t>
            </w:r>
            <w:proofErr w:type="spellStart"/>
            <w:r w:rsidRPr="00FD09C9">
              <w:rPr>
                <w:rFonts w:eastAsia="Times New Roman" w:cstheme="minorHAnsi"/>
                <w:color w:val="000000"/>
                <w:lang w:eastAsia="it-IT"/>
              </w:rPr>
              <w:t>Tuscany</w:t>
            </w:r>
            <w:proofErr w:type="spellEnd"/>
          </w:p>
        </w:tc>
        <w:tc>
          <w:tcPr>
            <w:tcW w:w="1134" w:type="dxa"/>
            <w:shd w:val="clear" w:color="auto" w:fill="auto"/>
            <w:noWrap/>
            <w:vAlign w:val="center"/>
            <w:hideMark/>
          </w:tcPr>
          <w:p w14:paraId="0E1833F2" w14:textId="77777777" w:rsidR="00C40D5E" w:rsidRPr="00FD09C9" w:rsidRDefault="00C40D5E" w:rsidP="00162987">
            <w:pPr>
              <w:spacing w:after="0" w:line="240" w:lineRule="auto"/>
              <w:jc w:val="center"/>
              <w:rPr>
                <w:rFonts w:eastAsia="Times New Roman" w:cstheme="minorHAnsi"/>
                <w:color w:val="000000"/>
                <w:lang w:eastAsia="it-IT"/>
              </w:rPr>
            </w:pPr>
            <w:r w:rsidRPr="00FD09C9">
              <w:rPr>
                <w:rFonts w:eastAsia="Times New Roman" w:cstheme="minorHAnsi"/>
                <w:color w:val="000000"/>
                <w:lang w:eastAsia="it-IT"/>
              </w:rPr>
              <w:t>2005-2014</w:t>
            </w:r>
          </w:p>
        </w:tc>
        <w:tc>
          <w:tcPr>
            <w:tcW w:w="1134" w:type="dxa"/>
          </w:tcPr>
          <w:p w14:paraId="518D8701" w14:textId="77777777" w:rsidR="00C40D5E" w:rsidRPr="00FD09C9" w:rsidRDefault="00C40D5E" w:rsidP="00162987">
            <w:pPr>
              <w:spacing w:after="0" w:line="240" w:lineRule="auto"/>
              <w:jc w:val="center"/>
              <w:rPr>
                <w:rFonts w:eastAsia="Times New Roman" w:cstheme="minorHAnsi"/>
                <w:color w:val="000000"/>
                <w:lang w:eastAsia="it-IT"/>
              </w:rPr>
            </w:pPr>
            <w:r>
              <w:rPr>
                <w:rFonts w:eastAsia="Times New Roman" w:cstheme="minorHAnsi"/>
                <w:color w:val="000000"/>
                <w:lang w:eastAsia="it-IT"/>
              </w:rPr>
              <w:t>VS</w:t>
            </w:r>
          </w:p>
        </w:tc>
        <w:tc>
          <w:tcPr>
            <w:tcW w:w="1134" w:type="dxa"/>
            <w:shd w:val="clear" w:color="auto" w:fill="auto"/>
            <w:noWrap/>
            <w:vAlign w:val="center"/>
            <w:hideMark/>
          </w:tcPr>
          <w:p w14:paraId="3D812521" w14:textId="77777777" w:rsidR="00C40D5E" w:rsidRPr="00FD09C9" w:rsidRDefault="00C40D5E" w:rsidP="00162987">
            <w:pPr>
              <w:spacing w:after="0" w:line="240" w:lineRule="auto"/>
              <w:jc w:val="center"/>
              <w:rPr>
                <w:rFonts w:eastAsia="Times New Roman" w:cstheme="minorHAnsi"/>
                <w:color w:val="000000"/>
                <w:lang w:eastAsia="it-IT"/>
              </w:rPr>
            </w:pPr>
            <w:r w:rsidRPr="00FD09C9">
              <w:rPr>
                <w:rFonts w:eastAsia="Times New Roman" w:cstheme="minorHAnsi"/>
                <w:color w:val="000000"/>
                <w:lang w:eastAsia="it-IT"/>
              </w:rPr>
              <w:t>4,312</w:t>
            </w:r>
          </w:p>
        </w:tc>
        <w:tc>
          <w:tcPr>
            <w:tcW w:w="1276" w:type="dxa"/>
            <w:shd w:val="clear" w:color="auto" w:fill="auto"/>
            <w:noWrap/>
            <w:vAlign w:val="center"/>
            <w:hideMark/>
          </w:tcPr>
          <w:p w14:paraId="1E7A2ED1" w14:textId="77777777" w:rsidR="00C40D5E" w:rsidRPr="00FD09C9" w:rsidRDefault="00C40D5E" w:rsidP="00162987">
            <w:pPr>
              <w:spacing w:after="0" w:line="240" w:lineRule="auto"/>
              <w:jc w:val="center"/>
              <w:rPr>
                <w:rFonts w:eastAsia="Times New Roman" w:cstheme="minorHAnsi"/>
                <w:color w:val="000000"/>
                <w:lang w:eastAsia="it-IT"/>
              </w:rPr>
            </w:pPr>
            <w:r w:rsidRPr="00FD09C9">
              <w:rPr>
                <w:rFonts w:eastAsia="Times New Roman" w:cstheme="minorHAnsi"/>
                <w:color w:val="000000"/>
                <w:lang w:eastAsia="it-IT"/>
              </w:rPr>
              <w:t>158.7</w:t>
            </w:r>
          </w:p>
        </w:tc>
        <w:tc>
          <w:tcPr>
            <w:tcW w:w="1134" w:type="dxa"/>
            <w:vAlign w:val="center"/>
          </w:tcPr>
          <w:p w14:paraId="5062DADF" w14:textId="77777777" w:rsidR="00C40D5E" w:rsidRPr="00FD09C9" w:rsidRDefault="00C40D5E" w:rsidP="00162987">
            <w:pPr>
              <w:spacing w:after="0" w:line="240" w:lineRule="auto"/>
              <w:jc w:val="center"/>
              <w:rPr>
                <w:rFonts w:eastAsia="Times New Roman" w:cstheme="minorHAnsi"/>
                <w:color w:val="000000"/>
                <w:lang w:eastAsia="it-IT"/>
              </w:rPr>
            </w:pPr>
            <w:r w:rsidRPr="00FD09C9">
              <w:rPr>
                <w:rFonts w:eastAsia="Times New Roman" w:cstheme="minorHAnsi"/>
                <w:color w:val="000000"/>
                <w:lang w:eastAsia="it-IT"/>
              </w:rPr>
              <w:t>22.6</w:t>
            </w:r>
          </w:p>
        </w:tc>
        <w:tc>
          <w:tcPr>
            <w:tcW w:w="1062" w:type="dxa"/>
            <w:vAlign w:val="center"/>
          </w:tcPr>
          <w:p w14:paraId="7B7379C5" w14:textId="77777777" w:rsidR="00C40D5E" w:rsidRPr="00FD09C9" w:rsidRDefault="00C40D5E" w:rsidP="00162987">
            <w:pPr>
              <w:spacing w:after="0" w:line="240" w:lineRule="auto"/>
              <w:jc w:val="center"/>
              <w:rPr>
                <w:rFonts w:eastAsia="Times New Roman" w:cstheme="minorHAnsi"/>
                <w:color w:val="000000"/>
                <w:lang w:eastAsia="it-IT"/>
              </w:rPr>
            </w:pPr>
            <w:r w:rsidRPr="00FD09C9">
              <w:rPr>
                <w:rFonts w:eastAsia="Times New Roman" w:cstheme="minorHAnsi"/>
                <w:color w:val="000000"/>
                <w:lang w:eastAsia="it-IT"/>
              </w:rPr>
              <w:t>88.8</w:t>
            </w:r>
          </w:p>
        </w:tc>
      </w:tr>
      <w:tr w:rsidR="00C40D5E" w:rsidRPr="00FD09C9" w14:paraId="0E7AA097" w14:textId="77777777" w:rsidTr="00162987">
        <w:trPr>
          <w:trHeight w:val="283"/>
        </w:trPr>
        <w:tc>
          <w:tcPr>
            <w:tcW w:w="2694" w:type="dxa"/>
            <w:shd w:val="clear" w:color="auto" w:fill="auto"/>
            <w:noWrap/>
            <w:vAlign w:val="center"/>
            <w:hideMark/>
          </w:tcPr>
          <w:p w14:paraId="3D9BF1D9" w14:textId="77777777" w:rsidR="00C40D5E" w:rsidRPr="00FD09C9" w:rsidRDefault="00C40D5E" w:rsidP="00162987">
            <w:pPr>
              <w:spacing w:after="0" w:line="240" w:lineRule="auto"/>
              <w:rPr>
                <w:rFonts w:eastAsia="Times New Roman" w:cstheme="minorHAnsi"/>
                <w:color w:val="000000"/>
                <w:lang w:eastAsia="it-IT"/>
              </w:rPr>
            </w:pPr>
            <w:r w:rsidRPr="00FD09C9">
              <w:rPr>
                <w:rFonts w:eastAsia="Times New Roman" w:cstheme="minorHAnsi"/>
                <w:color w:val="000000"/>
                <w:lang w:eastAsia="it-IT"/>
              </w:rPr>
              <w:t>Malta</w:t>
            </w:r>
            <w:r w:rsidRPr="00FD09C9">
              <w:rPr>
                <w:rFonts w:eastAsia="Times New Roman" w:cstheme="minorHAnsi"/>
                <w:color w:val="000000"/>
                <w:vertAlign w:val="superscript"/>
                <w:lang w:eastAsia="it-IT"/>
              </w:rPr>
              <w:t>#</w:t>
            </w:r>
          </w:p>
        </w:tc>
        <w:tc>
          <w:tcPr>
            <w:tcW w:w="1134" w:type="dxa"/>
            <w:shd w:val="clear" w:color="auto" w:fill="auto"/>
            <w:noWrap/>
            <w:vAlign w:val="center"/>
            <w:hideMark/>
          </w:tcPr>
          <w:p w14:paraId="2299F5A3" w14:textId="77777777" w:rsidR="00C40D5E" w:rsidRPr="00FD09C9" w:rsidRDefault="00C40D5E" w:rsidP="00162987">
            <w:pPr>
              <w:spacing w:after="0" w:line="240" w:lineRule="auto"/>
              <w:jc w:val="center"/>
              <w:rPr>
                <w:rFonts w:eastAsia="Times New Roman" w:cstheme="minorHAnsi"/>
                <w:color w:val="000000"/>
                <w:lang w:eastAsia="it-IT"/>
              </w:rPr>
            </w:pPr>
            <w:r w:rsidRPr="00FD09C9">
              <w:rPr>
                <w:rFonts w:eastAsia="Times New Roman" w:cstheme="minorHAnsi"/>
                <w:color w:val="000000"/>
                <w:lang w:eastAsia="it-IT"/>
              </w:rPr>
              <w:t>2005-2014</w:t>
            </w:r>
          </w:p>
        </w:tc>
        <w:tc>
          <w:tcPr>
            <w:tcW w:w="1134" w:type="dxa"/>
          </w:tcPr>
          <w:p w14:paraId="077145F6" w14:textId="77777777" w:rsidR="00C40D5E" w:rsidRPr="00FD09C9" w:rsidRDefault="00C40D5E" w:rsidP="00162987">
            <w:pPr>
              <w:spacing w:after="0" w:line="240" w:lineRule="auto"/>
              <w:jc w:val="center"/>
              <w:rPr>
                <w:rFonts w:eastAsia="Times New Roman" w:cstheme="minorHAnsi"/>
                <w:color w:val="000000"/>
                <w:lang w:eastAsia="it-IT"/>
              </w:rPr>
            </w:pPr>
            <w:r>
              <w:rPr>
                <w:rFonts w:eastAsia="Times New Roman" w:cstheme="minorHAnsi"/>
                <w:color w:val="000000"/>
                <w:lang w:eastAsia="it-IT"/>
              </w:rPr>
              <w:t>MR</w:t>
            </w:r>
          </w:p>
        </w:tc>
        <w:tc>
          <w:tcPr>
            <w:tcW w:w="1134" w:type="dxa"/>
            <w:shd w:val="clear" w:color="auto" w:fill="auto"/>
            <w:noWrap/>
            <w:vAlign w:val="center"/>
            <w:hideMark/>
          </w:tcPr>
          <w:p w14:paraId="1F959662" w14:textId="77777777" w:rsidR="00C40D5E" w:rsidRPr="00FD09C9" w:rsidRDefault="00C40D5E" w:rsidP="00162987">
            <w:pPr>
              <w:spacing w:after="0" w:line="240" w:lineRule="auto"/>
              <w:jc w:val="center"/>
              <w:rPr>
                <w:rFonts w:eastAsia="Times New Roman" w:cstheme="minorHAnsi"/>
                <w:color w:val="000000"/>
                <w:lang w:eastAsia="it-IT"/>
              </w:rPr>
            </w:pPr>
            <w:r w:rsidRPr="00FD09C9">
              <w:rPr>
                <w:rFonts w:eastAsia="Times New Roman" w:cstheme="minorHAnsi"/>
                <w:color w:val="000000"/>
                <w:lang w:eastAsia="it-IT"/>
              </w:rPr>
              <w:t>1,191</w:t>
            </w:r>
          </w:p>
        </w:tc>
        <w:tc>
          <w:tcPr>
            <w:tcW w:w="1276" w:type="dxa"/>
            <w:shd w:val="clear" w:color="auto" w:fill="auto"/>
            <w:noWrap/>
            <w:vAlign w:val="center"/>
            <w:hideMark/>
          </w:tcPr>
          <w:p w14:paraId="48B6E0ED" w14:textId="77777777" w:rsidR="00C40D5E" w:rsidRPr="00FD09C9" w:rsidRDefault="00C40D5E" w:rsidP="00162987">
            <w:pPr>
              <w:spacing w:after="0" w:line="240" w:lineRule="auto"/>
              <w:jc w:val="center"/>
              <w:rPr>
                <w:rFonts w:eastAsia="Times New Roman" w:cstheme="minorHAnsi"/>
                <w:color w:val="000000"/>
                <w:lang w:eastAsia="it-IT"/>
              </w:rPr>
            </w:pPr>
            <w:r w:rsidRPr="00FD09C9">
              <w:rPr>
                <w:rFonts w:eastAsia="Times New Roman" w:cstheme="minorHAnsi"/>
                <w:color w:val="000000"/>
                <w:lang w:eastAsia="it-IT"/>
              </w:rPr>
              <w:t>288.2</w:t>
            </w:r>
          </w:p>
        </w:tc>
        <w:tc>
          <w:tcPr>
            <w:tcW w:w="1134" w:type="dxa"/>
            <w:vAlign w:val="center"/>
          </w:tcPr>
          <w:p w14:paraId="2ADFCE33" w14:textId="77777777" w:rsidR="00C40D5E" w:rsidRPr="00FD09C9" w:rsidRDefault="00C40D5E" w:rsidP="00162987">
            <w:pPr>
              <w:spacing w:after="0" w:line="240" w:lineRule="auto"/>
              <w:jc w:val="center"/>
              <w:rPr>
                <w:rFonts w:eastAsia="Times New Roman" w:cstheme="minorHAnsi"/>
                <w:color w:val="000000"/>
                <w:lang w:eastAsia="it-IT"/>
              </w:rPr>
            </w:pPr>
            <w:r w:rsidRPr="00FD09C9">
              <w:rPr>
                <w:rFonts w:eastAsia="Times New Roman" w:cstheme="minorHAnsi"/>
                <w:color w:val="000000"/>
                <w:lang w:eastAsia="it-IT"/>
              </w:rPr>
              <w:t>0</w:t>
            </w:r>
          </w:p>
        </w:tc>
        <w:tc>
          <w:tcPr>
            <w:tcW w:w="1062" w:type="dxa"/>
            <w:vAlign w:val="center"/>
          </w:tcPr>
          <w:p w14:paraId="66F635CB" w14:textId="77777777" w:rsidR="00C40D5E" w:rsidRPr="00FD09C9" w:rsidRDefault="00C40D5E" w:rsidP="00162987">
            <w:pPr>
              <w:spacing w:after="0" w:line="240" w:lineRule="auto"/>
              <w:jc w:val="center"/>
              <w:rPr>
                <w:rFonts w:eastAsia="Times New Roman" w:cstheme="minorHAnsi"/>
                <w:color w:val="000000"/>
                <w:lang w:eastAsia="it-IT"/>
              </w:rPr>
            </w:pPr>
            <w:r w:rsidRPr="00FD09C9">
              <w:rPr>
                <w:rFonts w:eastAsia="Times New Roman" w:cstheme="minorHAnsi"/>
                <w:color w:val="000000"/>
                <w:lang w:eastAsia="it-IT"/>
              </w:rPr>
              <w:t>NA</w:t>
            </w:r>
          </w:p>
        </w:tc>
      </w:tr>
      <w:tr w:rsidR="00C40D5E" w:rsidRPr="00FD09C9" w14:paraId="6B5D2BD8" w14:textId="77777777" w:rsidTr="00162987">
        <w:trPr>
          <w:trHeight w:val="283"/>
        </w:trPr>
        <w:tc>
          <w:tcPr>
            <w:tcW w:w="2694" w:type="dxa"/>
            <w:shd w:val="clear" w:color="auto" w:fill="auto"/>
            <w:noWrap/>
            <w:vAlign w:val="center"/>
            <w:hideMark/>
          </w:tcPr>
          <w:p w14:paraId="116F6D4B" w14:textId="77777777" w:rsidR="00C40D5E" w:rsidRPr="00FD09C9" w:rsidRDefault="00C40D5E" w:rsidP="00162987">
            <w:pPr>
              <w:spacing w:after="0" w:line="240" w:lineRule="auto"/>
              <w:rPr>
                <w:rFonts w:eastAsia="Times New Roman" w:cstheme="minorHAnsi"/>
                <w:color w:val="000000"/>
                <w:lang w:eastAsia="it-IT"/>
              </w:rPr>
            </w:pPr>
            <w:r w:rsidRPr="00FD09C9">
              <w:rPr>
                <w:rFonts w:eastAsia="Times New Roman" w:cstheme="minorHAnsi"/>
                <w:color w:val="000000"/>
                <w:lang w:eastAsia="it-IT"/>
              </w:rPr>
              <w:t xml:space="preserve">Netherlands: </w:t>
            </w:r>
            <w:proofErr w:type="spellStart"/>
            <w:r w:rsidRPr="00FD09C9">
              <w:rPr>
                <w:rFonts w:eastAsia="Times New Roman" w:cstheme="minorHAnsi"/>
                <w:color w:val="000000"/>
                <w:lang w:eastAsia="it-IT"/>
              </w:rPr>
              <w:t>Northern</w:t>
            </w:r>
            <w:proofErr w:type="spellEnd"/>
            <w:r w:rsidRPr="00FD09C9">
              <w:rPr>
                <w:rFonts w:eastAsia="Times New Roman" w:cstheme="minorHAnsi"/>
                <w:color w:val="000000"/>
                <w:lang w:eastAsia="it-IT"/>
              </w:rPr>
              <w:t>°</w:t>
            </w:r>
          </w:p>
        </w:tc>
        <w:tc>
          <w:tcPr>
            <w:tcW w:w="1134" w:type="dxa"/>
            <w:shd w:val="clear" w:color="auto" w:fill="auto"/>
            <w:noWrap/>
            <w:vAlign w:val="center"/>
            <w:hideMark/>
          </w:tcPr>
          <w:p w14:paraId="7AC07EB4" w14:textId="77777777" w:rsidR="00C40D5E" w:rsidRPr="00FD09C9" w:rsidRDefault="00C40D5E" w:rsidP="00162987">
            <w:pPr>
              <w:spacing w:after="0" w:line="240" w:lineRule="auto"/>
              <w:jc w:val="center"/>
              <w:rPr>
                <w:rFonts w:eastAsia="Times New Roman" w:cstheme="minorHAnsi"/>
                <w:color w:val="000000"/>
                <w:lang w:eastAsia="it-IT"/>
              </w:rPr>
            </w:pPr>
            <w:r w:rsidRPr="00FD09C9">
              <w:rPr>
                <w:rFonts w:eastAsia="Times New Roman" w:cstheme="minorHAnsi"/>
                <w:color w:val="000000"/>
                <w:lang w:eastAsia="it-IT"/>
              </w:rPr>
              <w:t>2005-2014</w:t>
            </w:r>
          </w:p>
        </w:tc>
        <w:tc>
          <w:tcPr>
            <w:tcW w:w="1134" w:type="dxa"/>
          </w:tcPr>
          <w:p w14:paraId="45C9C2E4" w14:textId="77777777" w:rsidR="00C40D5E" w:rsidRPr="00FD09C9" w:rsidRDefault="00C40D5E" w:rsidP="00162987">
            <w:pPr>
              <w:spacing w:after="0" w:line="240" w:lineRule="auto"/>
              <w:jc w:val="center"/>
              <w:rPr>
                <w:rFonts w:eastAsia="Times New Roman" w:cstheme="minorHAnsi"/>
                <w:color w:val="000000"/>
                <w:lang w:eastAsia="it-IT"/>
              </w:rPr>
            </w:pPr>
            <w:r>
              <w:rPr>
                <w:rFonts w:eastAsia="Times New Roman" w:cstheme="minorHAnsi"/>
                <w:color w:val="000000"/>
                <w:lang w:eastAsia="it-IT"/>
              </w:rPr>
              <w:t>VS</w:t>
            </w:r>
          </w:p>
        </w:tc>
        <w:tc>
          <w:tcPr>
            <w:tcW w:w="1134" w:type="dxa"/>
            <w:shd w:val="clear" w:color="auto" w:fill="auto"/>
            <w:noWrap/>
            <w:vAlign w:val="center"/>
            <w:hideMark/>
          </w:tcPr>
          <w:p w14:paraId="68467646" w14:textId="77777777" w:rsidR="00C40D5E" w:rsidRPr="00FD09C9" w:rsidRDefault="00C40D5E" w:rsidP="00162987">
            <w:pPr>
              <w:spacing w:after="0" w:line="240" w:lineRule="auto"/>
              <w:jc w:val="center"/>
              <w:rPr>
                <w:rFonts w:eastAsia="Times New Roman" w:cstheme="minorHAnsi"/>
                <w:color w:val="000000"/>
                <w:lang w:eastAsia="it-IT"/>
              </w:rPr>
            </w:pPr>
            <w:r w:rsidRPr="00FD09C9">
              <w:rPr>
                <w:rFonts w:eastAsia="Times New Roman" w:cstheme="minorHAnsi"/>
                <w:color w:val="000000"/>
                <w:lang w:eastAsia="it-IT"/>
              </w:rPr>
              <w:t>3,810</w:t>
            </w:r>
          </w:p>
        </w:tc>
        <w:tc>
          <w:tcPr>
            <w:tcW w:w="1276" w:type="dxa"/>
            <w:shd w:val="clear" w:color="auto" w:fill="auto"/>
            <w:noWrap/>
            <w:vAlign w:val="center"/>
            <w:hideMark/>
          </w:tcPr>
          <w:p w14:paraId="72344646" w14:textId="77777777" w:rsidR="00C40D5E" w:rsidRPr="00FD09C9" w:rsidRDefault="00C40D5E" w:rsidP="00162987">
            <w:pPr>
              <w:spacing w:after="0" w:line="240" w:lineRule="auto"/>
              <w:jc w:val="center"/>
              <w:rPr>
                <w:rFonts w:eastAsia="Times New Roman" w:cstheme="minorHAnsi"/>
                <w:color w:val="000000"/>
                <w:lang w:eastAsia="it-IT"/>
              </w:rPr>
            </w:pPr>
            <w:r w:rsidRPr="00FD09C9">
              <w:rPr>
                <w:rFonts w:eastAsia="Times New Roman" w:cstheme="minorHAnsi"/>
                <w:color w:val="000000"/>
                <w:lang w:eastAsia="it-IT"/>
              </w:rPr>
              <w:t>229.7</w:t>
            </w:r>
          </w:p>
        </w:tc>
        <w:tc>
          <w:tcPr>
            <w:tcW w:w="1134" w:type="dxa"/>
            <w:vAlign w:val="center"/>
          </w:tcPr>
          <w:p w14:paraId="5A78EC61" w14:textId="77777777" w:rsidR="00C40D5E" w:rsidRPr="00FD09C9" w:rsidRDefault="00C40D5E" w:rsidP="00162987">
            <w:pPr>
              <w:spacing w:after="0" w:line="240" w:lineRule="auto"/>
              <w:jc w:val="center"/>
              <w:rPr>
                <w:rFonts w:eastAsia="Times New Roman" w:cstheme="minorHAnsi"/>
                <w:color w:val="000000"/>
                <w:lang w:eastAsia="it-IT"/>
              </w:rPr>
            </w:pPr>
            <w:r w:rsidRPr="00FD09C9">
              <w:rPr>
                <w:rFonts w:eastAsia="Times New Roman" w:cstheme="minorHAnsi"/>
                <w:color w:val="000000"/>
                <w:lang w:eastAsia="it-IT"/>
              </w:rPr>
              <w:t>14.0</w:t>
            </w:r>
          </w:p>
        </w:tc>
        <w:tc>
          <w:tcPr>
            <w:tcW w:w="1062" w:type="dxa"/>
            <w:vAlign w:val="center"/>
          </w:tcPr>
          <w:p w14:paraId="6C11364D" w14:textId="77777777" w:rsidR="00C40D5E" w:rsidRPr="00FD09C9" w:rsidRDefault="00C40D5E" w:rsidP="00162987">
            <w:pPr>
              <w:spacing w:after="0" w:line="240" w:lineRule="auto"/>
              <w:jc w:val="center"/>
              <w:rPr>
                <w:rFonts w:eastAsia="Times New Roman" w:cstheme="minorHAnsi"/>
                <w:color w:val="000000"/>
                <w:lang w:eastAsia="it-IT"/>
              </w:rPr>
            </w:pPr>
            <w:r w:rsidRPr="00FD09C9">
              <w:rPr>
                <w:rFonts w:eastAsia="Times New Roman" w:cstheme="minorHAnsi"/>
                <w:color w:val="000000"/>
                <w:lang w:eastAsia="it-IT"/>
              </w:rPr>
              <w:t>98.1</w:t>
            </w:r>
          </w:p>
        </w:tc>
      </w:tr>
      <w:tr w:rsidR="00C40D5E" w:rsidRPr="00FD09C9" w14:paraId="656EFFE1" w14:textId="77777777" w:rsidTr="00162987">
        <w:trPr>
          <w:trHeight w:val="283"/>
        </w:trPr>
        <w:tc>
          <w:tcPr>
            <w:tcW w:w="2694" w:type="dxa"/>
            <w:shd w:val="clear" w:color="auto" w:fill="auto"/>
            <w:noWrap/>
            <w:vAlign w:val="center"/>
            <w:hideMark/>
          </w:tcPr>
          <w:p w14:paraId="7067F1AE" w14:textId="77777777" w:rsidR="00C40D5E" w:rsidRPr="00FD09C9" w:rsidRDefault="00C40D5E" w:rsidP="00162987">
            <w:pPr>
              <w:spacing w:after="0" w:line="240" w:lineRule="auto"/>
              <w:rPr>
                <w:rFonts w:eastAsia="Times New Roman" w:cstheme="minorHAnsi"/>
                <w:color w:val="000000"/>
                <w:lang w:eastAsia="it-IT"/>
              </w:rPr>
            </w:pPr>
            <w:proofErr w:type="spellStart"/>
            <w:r w:rsidRPr="00FD09C9">
              <w:rPr>
                <w:rFonts w:eastAsia="Times New Roman" w:cstheme="minorHAnsi"/>
                <w:color w:val="000000"/>
                <w:lang w:eastAsia="it-IT"/>
              </w:rPr>
              <w:t>Norway</w:t>
            </w:r>
            <w:proofErr w:type="spellEnd"/>
          </w:p>
        </w:tc>
        <w:tc>
          <w:tcPr>
            <w:tcW w:w="1134" w:type="dxa"/>
            <w:shd w:val="clear" w:color="auto" w:fill="auto"/>
            <w:noWrap/>
            <w:vAlign w:val="center"/>
            <w:hideMark/>
          </w:tcPr>
          <w:p w14:paraId="5EAF95EC" w14:textId="77777777" w:rsidR="00C40D5E" w:rsidRPr="00FD09C9" w:rsidRDefault="00C40D5E" w:rsidP="00162987">
            <w:pPr>
              <w:spacing w:after="0" w:line="240" w:lineRule="auto"/>
              <w:jc w:val="center"/>
              <w:rPr>
                <w:rFonts w:eastAsia="Times New Roman" w:cstheme="minorHAnsi"/>
                <w:color w:val="000000"/>
                <w:lang w:eastAsia="it-IT"/>
              </w:rPr>
            </w:pPr>
            <w:r w:rsidRPr="00FD09C9">
              <w:rPr>
                <w:rFonts w:eastAsia="Times New Roman" w:cstheme="minorHAnsi"/>
                <w:color w:val="000000"/>
                <w:lang w:eastAsia="it-IT"/>
              </w:rPr>
              <w:t>2005-2014</w:t>
            </w:r>
          </w:p>
        </w:tc>
        <w:tc>
          <w:tcPr>
            <w:tcW w:w="1134" w:type="dxa"/>
          </w:tcPr>
          <w:p w14:paraId="1117665D" w14:textId="77777777" w:rsidR="00C40D5E" w:rsidRPr="00FD09C9" w:rsidRDefault="00C40D5E" w:rsidP="00162987">
            <w:pPr>
              <w:spacing w:after="0" w:line="240" w:lineRule="auto"/>
              <w:jc w:val="center"/>
              <w:rPr>
                <w:rFonts w:eastAsia="Times New Roman" w:cstheme="minorHAnsi"/>
                <w:color w:val="000000"/>
                <w:lang w:eastAsia="it-IT"/>
              </w:rPr>
            </w:pPr>
            <w:r>
              <w:rPr>
                <w:rFonts w:eastAsia="Times New Roman" w:cstheme="minorHAnsi"/>
                <w:color w:val="000000"/>
                <w:lang w:eastAsia="it-IT"/>
              </w:rPr>
              <w:t>VS</w:t>
            </w:r>
          </w:p>
        </w:tc>
        <w:tc>
          <w:tcPr>
            <w:tcW w:w="1134" w:type="dxa"/>
            <w:shd w:val="clear" w:color="auto" w:fill="auto"/>
            <w:noWrap/>
            <w:vAlign w:val="center"/>
            <w:hideMark/>
          </w:tcPr>
          <w:p w14:paraId="49BEB947" w14:textId="77777777" w:rsidR="00C40D5E" w:rsidRPr="00FD09C9" w:rsidRDefault="00C40D5E" w:rsidP="00162987">
            <w:pPr>
              <w:spacing w:after="0" w:line="240" w:lineRule="auto"/>
              <w:jc w:val="center"/>
              <w:rPr>
                <w:rFonts w:eastAsia="Times New Roman" w:cstheme="minorHAnsi"/>
                <w:color w:val="000000"/>
                <w:lang w:eastAsia="it-IT"/>
              </w:rPr>
            </w:pPr>
            <w:r w:rsidRPr="00FD09C9">
              <w:rPr>
                <w:rFonts w:eastAsia="Times New Roman" w:cstheme="minorHAnsi"/>
                <w:color w:val="000000"/>
                <w:lang w:eastAsia="it-IT"/>
              </w:rPr>
              <w:t>15,010</w:t>
            </w:r>
          </w:p>
        </w:tc>
        <w:tc>
          <w:tcPr>
            <w:tcW w:w="1276" w:type="dxa"/>
            <w:shd w:val="clear" w:color="auto" w:fill="auto"/>
            <w:noWrap/>
            <w:vAlign w:val="center"/>
            <w:hideMark/>
          </w:tcPr>
          <w:p w14:paraId="34D6BB2D" w14:textId="77777777" w:rsidR="00C40D5E" w:rsidRPr="00FD09C9" w:rsidRDefault="00C40D5E" w:rsidP="00162987">
            <w:pPr>
              <w:spacing w:after="0" w:line="240" w:lineRule="auto"/>
              <w:jc w:val="center"/>
              <w:rPr>
                <w:rFonts w:eastAsia="Times New Roman" w:cstheme="minorHAnsi"/>
                <w:color w:val="000000"/>
                <w:lang w:eastAsia="it-IT"/>
              </w:rPr>
            </w:pPr>
            <w:r w:rsidRPr="00FD09C9">
              <w:rPr>
                <w:rFonts w:eastAsia="Times New Roman" w:cstheme="minorHAnsi"/>
                <w:color w:val="000000"/>
                <w:lang w:eastAsia="it-IT"/>
              </w:rPr>
              <w:t>233.8</w:t>
            </w:r>
          </w:p>
        </w:tc>
        <w:tc>
          <w:tcPr>
            <w:tcW w:w="1134" w:type="dxa"/>
            <w:vAlign w:val="center"/>
          </w:tcPr>
          <w:p w14:paraId="2CD773C8" w14:textId="77777777" w:rsidR="00C40D5E" w:rsidRPr="00FD09C9" w:rsidRDefault="00C40D5E" w:rsidP="00162987">
            <w:pPr>
              <w:spacing w:after="0" w:line="240" w:lineRule="auto"/>
              <w:jc w:val="center"/>
              <w:rPr>
                <w:rFonts w:eastAsia="Times New Roman" w:cstheme="minorHAnsi"/>
                <w:color w:val="000000"/>
                <w:lang w:eastAsia="it-IT"/>
              </w:rPr>
            </w:pPr>
            <w:r w:rsidRPr="00FD09C9">
              <w:rPr>
                <w:rFonts w:eastAsia="Times New Roman" w:cstheme="minorHAnsi"/>
                <w:color w:val="000000"/>
                <w:lang w:eastAsia="it-IT"/>
              </w:rPr>
              <w:t>14.0</w:t>
            </w:r>
          </w:p>
        </w:tc>
        <w:tc>
          <w:tcPr>
            <w:tcW w:w="1062" w:type="dxa"/>
            <w:vAlign w:val="center"/>
          </w:tcPr>
          <w:p w14:paraId="60818F9A" w14:textId="77777777" w:rsidR="00C40D5E" w:rsidRPr="00FD09C9" w:rsidRDefault="00C40D5E" w:rsidP="00162987">
            <w:pPr>
              <w:spacing w:after="0" w:line="240" w:lineRule="auto"/>
              <w:jc w:val="center"/>
              <w:rPr>
                <w:rFonts w:eastAsia="Times New Roman" w:cstheme="minorHAnsi"/>
                <w:color w:val="000000"/>
                <w:lang w:eastAsia="it-IT"/>
              </w:rPr>
            </w:pPr>
            <w:r w:rsidRPr="00FD09C9">
              <w:rPr>
                <w:rFonts w:eastAsia="Times New Roman" w:cstheme="minorHAnsi"/>
                <w:color w:val="000000"/>
                <w:lang w:eastAsia="it-IT"/>
              </w:rPr>
              <w:t>100.0</w:t>
            </w:r>
          </w:p>
        </w:tc>
      </w:tr>
      <w:tr w:rsidR="00C40D5E" w:rsidRPr="00FD09C9" w14:paraId="4881E157" w14:textId="77777777" w:rsidTr="00162987">
        <w:trPr>
          <w:trHeight w:val="283"/>
        </w:trPr>
        <w:tc>
          <w:tcPr>
            <w:tcW w:w="2694" w:type="dxa"/>
            <w:shd w:val="clear" w:color="auto" w:fill="auto"/>
            <w:noWrap/>
            <w:vAlign w:val="center"/>
            <w:hideMark/>
          </w:tcPr>
          <w:p w14:paraId="6E5B3B05" w14:textId="77777777" w:rsidR="00C40D5E" w:rsidRPr="00FD09C9" w:rsidRDefault="00C40D5E" w:rsidP="00162987">
            <w:pPr>
              <w:spacing w:after="0" w:line="240" w:lineRule="auto"/>
              <w:rPr>
                <w:rFonts w:eastAsia="Times New Roman" w:cstheme="minorHAnsi"/>
                <w:color w:val="000000"/>
                <w:lang w:eastAsia="it-IT"/>
              </w:rPr>
            </w:pPr>
            <w:proofErr w:type="spellStart"/>
            <w:r w:rsidRPr="00FD09C9">
              <w:rPr>
                <w:rFonts w:eastAsia="Times New Roman" w:cstheme="minorHAnsi"/>
                <w:color w:val="000000"/>
                <w:lang w:eastAsia="it-IT"/>
              </w:rPr>
              <w:t>Spain</w:t>
            </w:r>
            <w:proofErr w:type="spellEnd"/>
            <w:r w:rsidRPr="00FD09C9">
              <w:rPr>
                <w:rFonts w:eastAsia="Times New Roman" w:cstheme="minorHAnsi"/>
                <w:color w:val="000000"/>
                <w:lang w:eastAsia="it-IT"/>
              </w:rPr>
              <w:t xml:space="preserve">: </w:t>
            </w:r>
            <w:proofErr w:type="spellStart"/>
            <w:r w:rsidRPr="00FD09C9">
              <w:rPr>
                <w:rFonts w:eastAsia="Times New Roman" w:cstheme="minorHAnsi"/>
                <w:color w:val="000000"/>
                <w:lang w:eastAsia="it-IT"/>
              </w:rPr>
              <w:t>Basque</w:t>
            </w:r>
            <w:proofErr w:type="spellEnd"/>
            <w:r w:rsidRPr="00FD09C9">
              <w:rPr>
                <w:rFonts w:eastAsia="Times New Roman" w:cstheme="minorHAnsi"/>
                <w:color w:val="000000"/>
                <w:lang w:eastAsia="it-IT"/>
              </w:rPr>
              <w:t xml:space="preserve"> Country</w:t>
            </w:r>
          </w:p>
        </w:tc>
        <w:tc>
          <w:tcPr>
            <w:tcW w:w="1134" w:type="dxa"/>
            <w:shd w:val="clear" w:color="auto" w:fill="auto"/>
            <w:noWrap/>
            <w:vAlign w:val="center"/>
            <w:hideMark/>
          </w:tcPr>
          <w:p w14:paraId="3CF41851" w14:textId="77777777" w:rsidR="00C40D5E" w:rsidRPr="00FD09C9" w:rsidRDefault="00C40D5E" w:rsidP="00162987">
            <w:pPr>
              <w:spacing w:after="0" w:line="240" w:lineRule="auto"/>
              <w:jc w:val="center"/>
              <w:rPr>
                <w:rFonts w:eastAsia="Times New Roman" w:cstheme="minorHAnsi"/>
                <w:color w:val="000000"/>
                <w:lang w:eastAsia="it-IT"/>
              </w:rPr>
            </w:pPr>
            <w:r w:rsidRPr="00FD09C9">
              <w:rPr>
                <w:rFonts w:eastAsia="Times New Roman" w:cstheme="minorHAnsi"/>
                <w:color w:val="000000"/>
                <w:lang w:eastAsia="it-IT"/>
              </w:rPr>
              <w:t>2005-2014</w:t>
            </w:r>
          </w:p>
        </w:tc>
        <w:tc>
          <w:tcPr>
            <w:tcW w:w="1134" w:type="dxa"/>
          </w:tcPr>
          <w:p w14:paraId="7B55ABAC" w14:textId="77777777" w:rsidR="00C40D5E" w:rsidRPr="00FD09C9" w:rsidRDefault="00C40D5E" w:rsidP="00162987">
            <w:pPr>
              <w:spacing w:after="0" w:line="240" w:lineRule="auto"/>
              <w:jc w:val="center"/>
              <w:rPr>
                <w:rFonts w:eastAsia="Times New Roman" w:cstheme="minorHAnsi"/>
                <w:color w:val="000000"/>
                <w:lang w:eastAsia="it-IT"/>
              </w:rPr>
            </w:pPr>
            <w:r>
              <w:rPr>
                <w:rFonts w:eastAsia="Times New Roman" w:cstheme="minorHAnsi"/>
                <w:color w:val="000000"/>
                <w:lang w:eastAsia="it-IT"/>
              </w:rPr>
              <w:t>MR</w:t>
            </w:r>
          </w:p>
        </w:tc>
        <w:tc>
          <w:tcPr>
            <w:tcW w:w="1134" w:type="dxa"/>
            <w:shd w:val="clear" w:color="auto" w:fill="auto"/>
            <w:noWrap/>
            <w:vAlign w:val="center"/>
            <w:hideMark/>
          </w:tcPr>
          <w:p w14:paraId="20A7D3EE" w14:textId="77777777" w:rsidR="00C40D5E" w:rsidRPr="00FD09C9" w:rsidRDefault="00C40D5E" w:rsidP="00162987">
            <w:pPr>
              <w:spacing w:after="0" w:line="240" w:lineRule="auto"/>
              <w:jc w:val="center"/>
              <w:rPr>
                <w:rFonts w:eastAsia="Times New Roman" w:cstheme="minorHAnsi"/>
                <w:color w:val="000000"/>
                <w:lang w:eastAsia="it-IT"/>
              </w:rPr>
            </w:pPr>
            <w:r w:rsidRPr="00FD09C9">
              <w:rPr>
                <w:rFonts w:eastAsia="Times New Roman" w:cstheme="minorHAnsi"/>
                <w:color w:val="000000"/>
                <w:lang w:eastAsia="it-IT"/>
              </w:rPr>
              <w:t>3,586</w:t>
            </w:r>
          </w:p>
        </w:tc>
        <w:tc>
          <w:tcPr>
            <w:tcW w:w="1276" w:type="dxa"/>
            <w:shd w:val="clear" w:color="auto" w:fill="auto"/>
            <w:noWrap/>
            <w:vAlign w:val="center"/>
            <w:hideMark/>
          </w:tcPr>
          <w:p w14:paraId="617A2168" w14:textId="77777777" w:rsidR="00C40D5E" w:rsidRPr="00FD09C9" w:rsidRDefault="00C40D5E" w:rsidP="00162987">
            <w:pPr>
              <w:spacing w:after="0" w:line="240" w:lineRule="auto"/>
              <w:jc w:val="center"/>
              <w:rPr>
                <w:rFonts w:eastAsia="Times New Roman" w:cstheme="minorHAnsi"/>
                <w:color w:val="000000"/>
                <w:lang w:eastAsia="it-IT"/>
              </w:rPr>
            </w:pPr>
            <w:r w:rsidRPr="00FD09C9">
              <w:rPr>
                <w:rFonts w:eastAsia="Times New Roman" w:cstheme="minorHAnsi"/>
                <w:color w:val="000000"/>
                <w:lang w:eastAsia="it-IT"/>
              </w:rPr>
              <w:t>171.4</w:t>
            </w:r>
          </w:p>
        </w:tc>
        <w:tc>
          <w:tcPr>
            <w:tcW w:w="1134" w:type="dxa"/>
            <w:vAlign w:val="center"/>
          </w:tcPr>
          <w:p w14:paraId="25608BB8" w14:textId="77777777" w:rsidR="00C40D5E" w:rsidRPr="00FD09C9" w:rsidRDefault="00C40D5E" w:rsidP="00162987">
            <w:pPr>
              <w:spacing w:after="0" w:line="240" w:lineRule="auto"/>
              <w:jc w:val="center"/>
              <w:rPr>
                <w:rFonts w:eastAsia="Times New Roman" w:cstheme="minorHAnsi"/>
                <w:color w:val="000000"/>
                <w:lang w:eastAsia="it-IT"/>
              </w:rPr>
            </w:pPr>
            <w:r w:rsidRPr="00FD09C9">
              <w:rPr>
                <w:rFonts w:eastAsia="Times New Roman" w:cstheme="minorHAnsi"/>
                <w:color w:val="000000"/>
                <w:lang w:eastAsia="it-IT"/>
              </w:rPr>
              <w:t>32.6</w:t>
            </w:r>
          </w:p>
        </w:tc>
        <w:tc>
          <w:tcPr>
            <w:tcW w:w="1062" w:type="dxa"/>
            <w:vAlign w:val="center"/>
          </w:tcPr>
          <w:p w14:paraId="03DCCBC4" w14:textId="77777777" w:rsidR="00C40D5E" w:rsidRPr="00FD09C9" w:rsidRDefault="00C40D5E" w:rsidP="00162987">
            <w:pPr>
              <w:spacing w:after="0" w:line="240" w:lineRule="auto"/>
              <w:jc w:val="center"/>
              <w:rPr>
                <w:rFonts w:eastAsia="Times New Roman" w:cstheme="minorHAnsi"/>
                <w:color w:val="000000"/>
                <w:lang w:eastAsia="it-IT"/>
              </w:rPr>
            </w:pPr>
            <w:r w:rsidRPr="00FD09C9">
              <w:rPr>
                <w:rFonts w:eastAsia="Times New Roman" w:cstheme="minorHAnsi"/>
                <w:color w:val="000000"/>
                <w:lang w:eastAsia="it-IT"/>
              </w:rPr>
              <w:t>NA</w:t>
            </w:r>
          </w:p>
        </w:tc>
      </w:tr>
      <w:tr w:rsidR="00C40D5E" w:rsidRPr="00FD09C9" w14:paraId="7290E5F7" w14:textId="77777777" w:rsidTr="00162987">
        <w:trPr>
          <w:trHeight w:val="283"/>
        </w:trPr>
        <w:tc>
          <w:tcPr>
            <w:tcW w:w="2694" w:type="dxa"/>
            <w:shd w:val="clear" w:color="auto" w:fill="auto"/>
            <w:noWrap/>
            <w:vAlign w:val="center"/>
            <w:hideMark/>
          </w:tcPr>
          <w:p w14:paraId="39AE96DB" w14:textId="77777777" w:rsidR="00C40D5E" w:rsidRPr="00FD09C9" w:rsidRDefault="00C40D5E" w:rsidP="00162987">
            <w:pPr>
              <w:spacing w:after="0" w:line="240" w:lineRule="auto"/>
              <w:rPr>
                <w:rFonts w:eastAsia="Times New Roman" w:cstheme="minorHAnsi"/>
                <w:color w:val="000000"/>
                <w:lang w:eastAsia="it-IT"/>
              </w:rPr>
            </w:pPr>
            <w:proofErr w:type="spellStart"/>
            <w:r w:rsidRPr="00FD09C9">
              <w:rPr>
                <w:rFonts w:eastAsia="Times New Roman" w:cstheme="minorHAnsi"/>
                <w:color w:val="000000"/>
                <w:lang w:eastAsia="it-IT"/>
              </w:rPr>
              <w:t>Spain</w:t>
            </w:r>
            <w:proofErr w:type="spellEnd"/>
            <w:r w:rsidRPr="00FD09C9">
              <w:rPr>
                <w:rFonts w:eastAsia="Times New Roman" w:cstheme="minorHAnsi"/>
                <w:color w:val="000000"/>
                <w:lang w:eastAsia="it-IT"/>
              </w:rPr>
              <w:t xml:space="preserve">: </w:t>
            </w:r>
            <w:proofErr w:type="spellStart"/>
            <w:r w:rsidRPr="00FD09C9">
              <w:rPr>
                <w:rFonts w:eastAsia="Times New Roman" w:cstheme="minorHAnsi"/>
                <w:color w:val="000000"/>
                <w:lang w:eastAsia="it-IT"/>
              </w:rPr>
              <w:t>Valencian</w:t>
            </w:r>
            <w:proofErr w:type="spellEnd"/>
            <w:r w:rsidRPr="00FD09C9">
              <w:rPr>
                <w:rFonts w:eastAsia="Times New Roman" w:cstheme="minorHAnsi"/>
                <w:color w:val="000000"/>
                <w:lang w:eastAsia="it-IT"/>
              </w:rPr>
              <w:t xml:space="preserve"> </w:t>
            </w:r>
            <w:proofErr w:type="spellStart"/>
            <w:r w:rsidRPr="00FD09C9">
              <w:rPr>
                <w:rFonts w:eastAsia="Times New Roman" w:cstheme="minorHAnsi"/>
                <w:color w:val="000000"/>
                <w:lang w:eastAsia="it-IT"/>
              </w:rPr>
              <w:t>Region</w:t>
            </w:r>
            <w:proofErr w:type="spellEnd"/>
          </w:p>
        </w:tc>
        <w:tc>
          <w:tcPr>
            <w:tcW w:w="1134" w:type="dxa"/>
            <w:shd w:val="clear" w:color="auto" w:fill="auto"/>
            <w:noWrap/>
            <w:vAlign w:val="center"/>
            <w:hideMark/>
          </w:tcPr>
          <w:p w14:paraId="79DE17A3" w14:textId="77777777" w:rsidR="00C40D5E" w:rsidRPr="00FD09C9" w:rsidRDefault="00C40D5E" w:rsidP="00162987">
            <w:pPr>
              <w:spacing w:after="0" w:line="240" w:lineRule="auto"/>
              <w:jc w:val="center"/>
              <w:rPr>
                <w:rFonts w:eastAsia="Times New Roman" w:cstheme="minorHAnsi"/>
                <w:color w:val="000000"/>
                <w:lang w:eastAsia="it-IT"/>
              </w:rPr>
            </w:pPr>
            <w:r w:rsidRPr="00FD09C9">
              <w:rPr>
                <w:rFonts w:eastAsia="Times New Roman" w:cstheme="minorHAnsi"/>
                <w:color w:val="000000"/>
                <w:lang w:eastAsia="it-IT"/>
              </w:rPr>
              <w:t>2007-2014</w:t>
            </w:r>
          </w:p>
        </w:tc>
        <w:tc>
          <w:tcPr>
            <w:tcW w:w="1134" w:type="dxa"/>
          </w:tcPr>
          <w:p w14:paraId="583DBE60" w14:textId="77777777" w:rsidR="00C40D5E" w:rsidRPr="00FD09C9" w:rsidRDefault="00C40D5E" w:rsidP="00162987">
            <w:pPr>
              <w:spacing w:after="0" w:line="240" w:lineRule="auto"/>
              <w:jc w:val="center"/>
              <w:rPr>
                <w:rFonts w:eastAsia="Times New Roman" w:cstheme="minorHAnsi"/>
                <w:color w:val="000000"/>
                <w:lang w:eastAsia="it-IT"/>
              </w:rPr>
            </w:pPr>
            <w:r>
              <w:rPr>
                <w:rFonts w:eastAsia="Times New Roman" w:cstheme="minorHAnsi"/>
                <w:color w:val="000000"/>
                <w:lang w:eastAsia="it-IT"/>
              </w:rPr>
              <w:t>MR</w:t>
            </w:r>
          </w:p>
        </w:tc>
        <w:tc>
          <w:tcPr>
            <w:tcW w:w="1134" w:type="dxa"/>
            <w:shd w:val="clear" w:color="auto" w:fill="auto"/>
            <w:noWrap/>
            <w:vAlign w:val="center"/>
            <w:hideMark/>
          </w:tcPr>
          <w:p w14:paraId="53BD53F2" w14:textId="77777777" w:rsidR="00C40D5E" w:rsidRPr="00FD09C9" w:rsidRDefault="00C40D5E" w:rsidP="00162987">
            <w:pPr>
              <w:spacing w:after="0" w:line="240" w:lineRule="auto"/>
              <w:jc w:val="center"/>
              <w:rPr>
                <w:rFonts w:eastAsia="Times New Roman" w:cstheme="minorHAnsi"/>
                <w:color w:val="000000"/>
                <w:lang w:eastAsia="it-IT"/>
              </w:rPr>
            </w:pPr>
            <w:r w:rsidRPr="00FD09C9">
              <w:rPr>
                <w:rFonts w:eastAsia="Times New Roman" w:cstheme="minorHAnsi"/>
                <w:color w:val="000000"/>
                <w:lang w:eastAsia="it-IT"/>
              </w:rPr>
              <w:t>7,839</w:t>
            </w:r>
          </w:p>
        </w:tc>
        <w:tc>
          <w:tcPr>
            <w:tcW w:w="1276" w:type="dxa"/>
            <w:shd w:val="clear" w:color="auto" w:fill="auto"/>
            <w:noWrap/>
            <w:vAlign w:val="center"/>
            <w:hideMark/>
          </w:tcPr>
          <w:p w14:paraId="214A5A69" w14:textId="77777777" w:rsidR="00C40D5E" w:rsidRPr="00FD09C9" w:rsidRDefault="00C40D5E" w:rsidP="00162987">
            <w:pPr>
              <w:spacing w:after="0" w:line="240" w:lineRule="auto"/>
              <w:jc w:val="center"/>
              <w:rPr>
                <w:rFonts w:eastAsia="Times New Roman" w:cstheme="minorHAnsi"/>
                <w:color w:val="000000"/>
                <w:lang w:eastAsia="it-IT"/>
              </w:rPr>
            </w:pPr>
            <w:r w:rsidRPr="00FD09C9">
              <w:rPr>
                <w:rFonts w:eastAsia="Times New Roman" w:cstheme="minorHAnsi"/>
                <w:color w:val="000000"/>
                <w:lang w:eastAsia="it-IT"/>
              </w:rPr>
              <w:t>180.1</w:t>
            </w:r>
          </w:p>
        </w:tc>
        <w:tc>
          <w:tcPr>
            <w:tcW w:w="1134" w:type="dxa"/>
            <w:vAlign w:val="center"/>
          </w:tcPr>
          <w:p w14:paraId="3C7B2C69" w14:textId="77777777" w:rsidR="00C40D5E" w:rsidRPr="00FD09C9" w:rsidRDefault="00C40D5E" w:rsidP="00162987">
            <w:pPr>
              <w:spacing w:after="0" w:line="240" w:lineRule="auto"/>
              <w:jc w:val="center"/>
              <w:rPr>
                <w:rFonts w:eastAsia="Times New Roman" w:cstheme="minorHAnsi"/>
                <w:color w:val="000000"/>
                <w:lang w:eastAsia="it-IT"/>
              </w:rPr>
            </w:pPr>
            <w:r w:rsidRPr="00FD09C9">
              <w:rPr>
                <w:rFonts w:eastAsia="Times New Roman" w:cstheme="minorHAnsi"/>
                <w:color w:val="000000"/>
                <w:lang w:eastAsia="it-IT"/>
              </w:rPr>
              <w:t>20.8</w:t>
            </w:r>
          </w:p>
        </w:tc>
        <w:tc>
          <w:tcPr>
            <w:tcW w:w="1062" w:type="dxa"/>
            <w:vAlign w:val="center"/>
          </w:tcPr>
          <w:p w14:paraId="5C638FCF" w14:textId="77777777" w:rsidR="00C40D5E" w:rsidRPr="00FD09C9" w:rsidRDefault="00C40D5E" w:rsidP="00162987">
            <w:pPr>
              <w:spacing w:after="0" w:line="240" w:lineRule="auto"/>
              <w:jc w:val="center"/>
              <w:rPr>
                <w:rFonts w:eastAsia="Times New Roman" w:cstheme="minorHAnsi"/>
                <w:color w:val="000000"/>
                <w:lang w:eastAsia="it-IT"/>
              </w:rPr>
            </w:pPr>
            <w:r w:rsidRPr="00FD09C9">
              <w:rPr>
                <w:rFonts w:eastAsia="Times New Roman" w:cstheme="minorHAnsi"/>
                <w:color w:val="000000"/>
                <w:lang w:eastAsia="it-IT"/>
              </w:rPr>
              <w:t>NA</w:t>
            </w:r>
          </w:p>
        </w:tc>
      </w:tr>
      <w:tr w:rsidR="00C40D5E" w:rsidRPr="00FD09C9" w14:paraId="385812F0" w14:textId="77777777" w:rsidTr="00162987">
        <w:trPr>
          <w:trHeight w:val="283"/>
        </w:trPr>
        <w:tc>
          <w:tcPr>
            <w:tcW w:w="2694" w:type="dxa"/>
            <w:shd w:val="clear" w:color="auto" w:fill="auto"/>
            <w:noWrap/>
            <w:vAlign w:val="center"/>
            <w:hideMark/>
          </w:tcPr>
          <w:p w14:paraId="3BD338E8" w14:textId="77777777" w:rsidR="00C40D5E" w:rsidRPr="00FD09C9" w:rsidRDefault="00C40D5E" w:rsidP="00162987">
            <w:pPr>
              <w:spacing w:after="0" w:line="240" w:lineRule="auto"/>
              <w:rPr>
                <w:rFonts w:eastAsia="Times New Roman" w:cstheme="minorHAnsi"/>
                <w:color w:val="000000"/>
                <w:lang w:eastAsia="it-IT"/>
              </w:rPr>
            </w:pPr>
            <w:r w:rsidRPr="00FD09C9">
              <w:rPr>
                <w:rFonts w:eastAsia="Times New Roman" w:cstheme="minorHAnsi"/>
                <w:color w:val="000000"/>
                <w:lang w:eastAsia="it-IT"/>
              </w:rPr>
              <w:t>UK: Wales</w:t>
            </w:r>
          </w:p>
        </w:tc>
        <w:tc>
          <w:tcPr>
            <w:tcW w:w="1134" w:type="dxa"/>
            <w:shd w:val="clear" w:color="auto" w:fill="auto"/>
            <w:noWrap/>
            <w:vAlign w:val="center"/>
            <w:hideMark/>
          </w:tcPr>
          <w:p w14:paraId="313ADFA5" w14:textId="77777777" w:rsidR="00C40D5E" w:rsidRPr="00FD09C9" w:rsidRDefault="00C40D5E" w:rsidP="00162987">
            <w:pPr>
              <w:spacing w:after="0" w:line="240" w:lineRule="auto"/>
              <w:jc w:val="center"/>
              <w:rPr>
                <w:rFonts w:eastAsia="Times New Roman" w:cstheme="minorHAnsi"/>
                <w:color w:val="000000"/>
                <w:lang w:eastAsia="it-IT"/>
              </w:rPr>
            </w:pPr>
            <w:r w:rsidRPr="00FD09C9">
              <w:rPr>
                <w:rFonts w:eastAsia="Times New Roman" w:cstheme="minorHAnsi"/>
                <w:color w:val="000000"/>
                <w:lang w:eastAsia="it-IT"/>
              </w:rPr>
              <w:t>2005-2014</w:t>
            </w:r>
          </w:p>
        </w:tc>
        <w:tc>
          <w:tcPr>
            <w:tcW w:w="1134" w:type="dxa"/>
          </w:tcPr>
          <w:p w14:paraId="3AA27BBB" w14:textId="77777777" w:rsidR="00C40D5E" w:rsidRPr="00FD09C9" w:rsidRDefault="00C40D5E" w:rsidP="00162987">
            <w:pPr>
              <w:spacing w:after="0" w:line="240" w:lineRule="auto"/>
              <w:jc w:val="center"/>
              <w:rPr>
                <w:rFonts w:eastAsia="Times New Roman" w:cstheme="minorHAnsi"/>
                <w:color w:val="000000"/>
                <w:lang w:eastAsia="it-IT"/>
              </w:rPr>
            </w:pPr>
            <w:r>
              <w:rPr>
                <w:rFonts w:eastAsia="Times New Roman" w:cstheme="minorHAnsi"/>
                <w:color w:val="000000"/>
                <w:lang w:eastAsia="it-IT"/>
              </w:rPr>
              <w:t>VS</w:t>
            </w:r>
          </w:p>
        </w:tc>
        <w:tc>
          <w:tcPr>
            <w:tcW w:w="1134" w:type="dxa"/>
            <w:shd w:val="clear" w:color="auto" w:fill="auto"/>
            <w:noWrap/>
            <w:vAlign w:val="center"/>
            <w:hideMark/>
          </w:tcPr>
          <w:p w14:paraId="06719705" w14:textId="77777777" w:rsidR="00C40D5E" w:rsidRPr="00FD09C9" w:rsidRDefault="00C40D5E" w:rsidP="00162987">
            <w:pPr>
              <w:spacing w:after="0" w:line="240" w:lineRule="auto"/>
              <w:jc w:val="center"/>
              <w:rPr>
                <w:rFonts w:eastAsia="Times New Roman" w:cstheme="minorHAnsi"/>
                <w:color w:val="000000"/>
                <w:lang w:eastAsia="it-IT"/>
              </w:rPr>
            </w:pPr>
            <w:r w:rsidRPr="00FD09C9">
              <w:rPr>
                <w:rFonts w:eastAsia="Times New Roman" w:cstheme="minorHAnsi"/>
                <w:color w:val="000000"/>
                <w:lang w:eastAsia="it-IT"/>
              </w:rPr>
              <w:t>10,341</w:t>
            </w:r>
          </w:p>
        </w:tc>
        <w:tc>
          <w:tcPr>
            <w:tcW w:w="1276" w:type="dxa"/>
            <w:shd w:val="clear" w:color="auto" w:fill="auto"/>
            <w:noWrap/>
            <w:vAlign w:val="center"/>
            <w:hideMark/>
          </w:tcPr>
          <w:p w14:paraId="4EBB4560" w14:textId="77777777" w:rsidR="00C40D5E" w:rsidRPr="00FD09C9" w:rsidRDefault="00C40D5E" w:rsidP="00162987">
            <w:pPr>
              <w:spacing w:after="0" w:line="240" w:lineRule="auto"/>
              <w:jc w:val="center"/>
              <w:rPr>
                <w:rFonts w:eastAsia="Times New Roman" w:cstheme="minorHAnsi"/>
                <w:color w:val="000000"/>
                <w:lang w:eastAsia="it-IT"/>
              </w:rPr>
            </w:pPr>
            <w:r w:rsidRPr="00FD09C9">
              <w:rPr>
                <w:rFonts w:eastAsia="Times New Roman" w:cstheme="minorHAnsi"/>
                <w:color w:val="000000"/>
                <w:lang w:eastAsia="it-IT"/>
              </w:rPr>
              <w:t>291.2</w:t>
            </w:r>
          </w:p>
        </w:tc>
        <w:tc>
          <w:tcPr>
            <w:tcW w:w="1134" w:type="dxa"/>
            <w:vAlign w:val="center"/>
          </w:tcPr>
          <w:p w14:paraId="01615450" w14:textId="77777777" w:rsidR="00C40D5E" w:rsidRPr="00FD09C9" w:rsidRDefault="00C40D5E" w:rsidP="00162987">
            <w:pPr>
              <w:spacing w:after="0" w:line="240" w:lineRule="auto"/>
              <w:jc w:val="center"/>
              <w:rPr>
                <w:rFonts w:eastAsia="Times New Roman" w:cstheme="minorHAnsi"/>
                <w:color w:val="000000"/>
                <w:lang w:eastAsia="it-IT"/>
              </w:rPr>
            </w:pPr>
            <w:r w:rsidRPr="00FD09C9">
              <w:rPr>
                <w:rFonts w:eastAsia="Times New Roman" w:cstheme="minorHAnsi"/>
                <w:color w:val="000000"/>
                <w:lang w:eastAsia="it-IT"/>
              </w:rPr>
              <w:t>14.9</w:t>
            </w:r>
          </w:p>
        </w:tc>
        <w:tc>
          <w:tcPr>
            <w:tcW w:w="1062" w:type="dxa"/>
            <w:vAlign w:val="center"/>
          </w:tcPr>
          <w:p w14:paraId="0DEC2BC6" w14:textId="77777777" w:rsidR="00C40D5E" w:rsidRPr="00FD09C9" w:rsidRDefault="00C40D5E" w:rsidP="00162987">
            <w:pPr>
              <w:spacing w:after="0" w:line="240" w:lineRule="auto"/>
              <w:jc w:val="center"/>
              <w:rPr>
                <w:rFonts w:eastAsia="Times New Roman" w:cstheme="minorHAnsi"/>
                <w:color w:val="000000"/>
                <w:lang w:eastAsia="it-IT"/>
              </w:rPr>
            </w:pPr>
            <w:r w:rsidRPr="00FD09C9">
              <w:rPr>
                <w:rFonts w:eastAsia="Times New Roman" w:cstheme="minorHAnsi"/>
                <w:color w:val="000000"/>
                <w:lang w:eastAsia="it-IT"/>
              </w:rPr>
              <w:t>99.9</w:t>
            </w:r>
          </w:p>
        </w:tc>
      </w:tr>
      <w:tr w:rsidR="00C40D5E" w:rsidRPr="00FD09C9" w14:paraId="3DFB480E" w14:textId="77777777" w:rsidTr="00162987">
        <w:trPr>
          <w:trHeight w:val="283"/>
        </w:trPr>
        <w:tc>
          <w:tcPr>
            <w:tcW w:w="2694" w:type="dxa"/>
            <w:shd w:val="clear" w:color="auto" w:fill="auto"/>
            <w:noWrap/>
            <w:vAlign w:val="center"/>
            <w:hideMark/>
          </w:tcPr>
          <w:p w14:paraId="25DB5585" w14:textId="77777777" w:rsidR="00C40D5E" w:rsidRPr="00FD09C9" w:rsidRDefault="00C40D5E" w:rsidP="00162987">
            <w:pPr>
              <w:spacing w:after="0" w:line="240" w:lineRule="auto"/>
              <w:rPr>
                <w:rFonts w:eastAsia="Times New Roman" w:cstheme="minorHAnsi"/>
                <w:color w:val="000000"/>
                <w:lang w:eastAsia="it-IT"/>
              </w:rPr>
            </w:pPr>
            <w:r w:rsidRPr="00FD09C9">
              <w:rPr>
                <w:rFonts w:eastAsia="Times New Roman" w:cstheme="minorHAnsi"/>
                <w:color w:val="000000"/>
                <w:lang w:eastAsia="it-IT"/>
              </w:rPr>
              <w:t xml:space="preserve">UK: </w:t>
            </w:r>
            <w:proofErr w:type="spellStart"/>
            <w:r w:rsidRPr="00FD09C9">
              <w:rPr>
                <w:rFonts w:eastAsia="Times New Roman" w:cstheme="minorHAnsi"/>
                <w:color w:val="000000"/>
                <w:lang w:eastAsia="it-IT"/>
              </w:rPr>
              <w:t>Thames</w:t>
            </w:r>
            <w:proofErr w:type="spellEnd"/>
            <w:r w:rsidRPr="00FD09C9">
              <w:rPr>
                <w:rFonts w:eastAsia="Times New Roman" w:cstheme="minorHAnsi"/>
                <w:color w:val="000000"/>
                <w:lang w:eastAsia="it-IT"/>
              </w:rPr>
              <w:t xml:space="preserve"> Valley</w:t>
            </w:r>
          </w:p>
        </w:tc>
        <w:tc>
          <w:tcPr>
            <w:tcW w:w="1134" w:type="dxa"/>
            <w:shd w:val="clear" w:color="auto" w:fill="auto"/>
            <w:noWrap/>
            <w:vAlign w:val="center"/>
            <w:hideMark/>
          </w:tcPr>
          <w:p w14:paraId="6A6CA6AE" w14:textId="77777777" w:rsidR="00C40D5E" w:rsidRPr="00FD09C9" w:rsidRDefault="00C40D5E" w:rsidP="00162987">
            <w:pPr>
              <w:spacing w:after="0" w:line="240" w:lineRule="auto"/>
              <w:jc w:val="center"/>
              <w:rPr>
                <w:rFonts w:eastAsia="Times New Roman" w:cstheme="minorHAnsi"/>
                <w:color w:val="000000"/>
                <w:lang w:eastAsia="it-IT"/>
              </w:rPr>
            </w:pPr>
            <w:r w:rsidRPr="00FD09C9">
              <w:rPr>
                <w:rFonts w:eastAsia="Times New Roman" w:cstheme="minorHAnsi"/>
                <w:color w:val="000000"/>
                <w:lang w:eastAsia="it-IT"/>
              </w:rPr>
              <w:t>2005-2013</w:t>
            </w:r>
          </w:p>
        </w:tc>
        <w:tc>
          <w:tcPr>
            <w:tcW w:w="1134" w:type="dxa"/>
          </w:tcPr>
          <w:p w14:paraId="65435978" w14:textId="77777777" w:rsidR="00C40D5E" w:rsidRPr="00FD09C9" w:rsidRDefault="00C40D5E" w:rsidP="00162987">
            <w:pPr>
              <w:spacing w:after="0" w:line="240" w:lineRule="auto"/>
              <w:jc w:val="center"/>
              <w:rPr>
                <w:rFonts w:eastAsia="Times New Roman" w:cstheme="minorHAnsi"/>
                <w:color w:val="000000"/>
                <w:lang w:eastAsia="it-IT"/>
              </w:rPr>
            </w:pPr>
            <w:r>
              <w:rPr>
                <w:rFonts w:eastAsia="Times New Roman" w:cstheme="minorHAnsi"/>
                <w:color w:val="000000"/>
                <w:lang w:eastAsia="it-IT"/>
              </w:rPr>
              <w:t>VS</w:t>
            </w:r>
          </w:p>
        </w:tc>
        <w:tc>
          <w:tcPr>
            <w:tcW w:w="1134" w:type="dxa"/>
            <w:shd w:val="clear" w:color="auto" w:fill="auto"/>
            <w:noWrap/>
            <w:vAlign w:val="center"/>
            <w:hideMark/>
          </w:tcPr>
          <w:p w14:paraId="63CC3EE3" w14:textId="77777777" w:rsidR="00C40D5E" w:rsidRPr="00FD09C9" w:rsidRDefault="00C40D5E" w:rsidP="00162987">
            <w:pPr>
              <w:spacing w:after="0" w:line="240" w:lineRule="auto"/>
              <w:jc w:val="center"/>
              <w:rPr>
                <w:rFonts w:eastAsia="Times New Roman" w:cstheme="minorHAnsi"/>
                <w:color w:val="000000"/>
                <w:lang w:eastAsia="it-IT"/>
              </w:rPr>
            </w:pPr>
            <w:r w:rsidRPr="00FD09C9">
              <w:rPr>
                <w:rFonts w:eastAsia="Times New Roman" w:cstheme="minorHAnsi"/>
                <w:color w:val="000000"/>
                <w:lang w:eastAsia="it-IT"/>
              </w:rPr>
              <w:t>3,818</w:t>
            </w:r>
          </w:p>
        </w:tc>
        <w:tc>
          <w:tcPr>
            <w:tcW w:w="1276" w:type="dxa"/>
            <w:shd w:val="clear" w:color="auto" w:fill="auto"/>
            <w:noWrap/>
            <w:vAlign w:val="center"/>
            <w:hideMark/>
          </w:tcPr>
          <w:p w14:paraId="2D9572B1" w14:textId="77777777" w:rsidR="00C40D5E" w:rsidRPr="00FD09C9" w:rsidRDefault="00C40D5E" w:rsidP="00162987">
            <w:pPr>
              <w:spacing w:after="0" w:line="240" w:lineRule="auto"/>
              <w:jc w:val="center"/>
              <w:rPr>
                <w:rFonts w:eastAsia="Times New Roman" w:cstheme="minorHAnsi"/>
                <w:color w:val="000000"/>
                <w:lang w:eastAsia="it-IT"/>
              </w:rPr>
            </w:pPr>
            <w:r w:rsidRPr="00FD09C9">
              <w:rPr>
                <w:rFonts w:eastAsia="Times New Roman" w:cstheme="minorHAnsi"/>
                <w:color w:val="000000"/>
                <w:lang w:eastAsia="it-IT"/>
              </w:rPr>
              <w:t>146.3</w:t>
            </w:r>
          </w:p>
        </w:tc>
        <w:tc>
          <w:tcPr>
            <w:tcW w:w="1134" w:type="dxa"/>
            <w:vAlign w:val="center"/>
          </w:tcPr>
          <w:p w14:paraId="595DBD2D" w14:textId="77777777" w:rsidR="00C40D5E" w:rsidRPr="00FD09C9" w:rsidRDefault="00C40D5E" w:rsidP="00162987">
            <w:pPr>
              <w:spacing w:after="0" w:line="240" w:lineRule="auto"/>
              <w:jc w:val="center"/>
              <w:rPr>
                <w:rFonts w:eastAsia="Times New Roman" w:cstheme="minorHAnsi"/>
                <w:color w:val="000000"/>
                <w:lang w:eastAsia="it-IT"/>
              </w:rPr>
            </w:pPr>
            <w:r w:rsidRPr="00FD09C9">
              <w:rPr>
                <w:rFonts w:eastAsia="Times New Roman" w:cstheme="minorHAnsi"/>
                <w:color w:val="000000"/>
                <w:lang w:eastAsia="it-IT"/>
              </w:rPr>
              <w:t>27.4</w:t>
            </w:r>
          </w:p>
        </w:tc>
        <w:tc>
          <w:tcPr>
            <w:tcW w:w="1062" w:type="dxa"/>
            <w:vAlign w:val="center"/>
          </w:tcPr>
          <w:p w14:paraId="7C2F4F1F" w14:textId="77777777" w:rsidR="00C40D5E" w:rsidRPr="00FD09C9" w:rsidRDefault="00C40D5E" w:rsidP="00162987">
            <w:pPr>
              <w:spacing w:after="0" w:line="240" w:lineRule="auto"/>
              <w:jc w:val="center"/>
              <w:rPr>
                <w:rFonts w:eastAsia="Times New Roman" w:cstheme="minorHAnsi"/>
                <w:color w:val="000000"/>
                <w:lang w:eastAsia="it-IT"/>
              </w:rPr>
            </w:pPr>
            <w:r w:rsidRPr="00FD09C9">
              <w:rPr>
                <w:rFonts w:eastAsia="Times New Roman" w:cstheme="minorHAnsi"/>
                <w:color w:val="000000"/>
                <w:lang w:eastAsia="it-IT"/>
              </w:rPr>
              <w:t>96.5</w:t>
            </w:r>
          </w:p>
        </w:tc>
      </w:tr>
      <w:tr w:rsidR="00C40D5E" w:rsidRPr="00FD09C9" w14:paraId="5F74BF6D" w14:textId="77777777" w:rsidTr="00162987">
        <w:trPr>
          <w:trHeight w:val="283"/>
        </w:trPr>
        <w:tc>
          <w:tcPr>
            <w:tcW w:w="2694" w:type="dxa"/>
            <w:shd w:val="clear" w:color="auto" w:fill="auto"/>
            <w:noWrap/>
            <w:vAlign w:val="center"/>
            <w:hideMark/>
          </w:tcPr>
          <w:p w14:paraId="6C081B39" w14:textId="77777777" w:rsidR="00C40D5E" w:rsidRPr="00FD09C9" w:rsidRDefault="00C40D5E" w:rsidP="00162987">
            <w:pPr>
              <w:spacing w:after="0" w:line="240" w:lineRule="auto"/>
              <w:rPr>
                <w:rFonts w:eastAsia="Times New Roman" w:cstheme="minorHAnsi"/>
                <w:color w:val="000000"/>
                <w:lang w:eastAsia="it-IT"/>
              </w:rPr>
            </w:pPr>
            <w:r w:rsidRPr="00FD09C9">
              <w:rPr>
                <w:rFonts w:eastAsia="Times New Roman" w:cstheme="minorHAnsi"/>
                <w:color w:val="000000"/>
                <w:lang w:eastAsia="it-IT"/>
              </w:rPr>
              <w:t>UK: Wessex</w:t>
            </w:r>
          </w:p>
        </w:tc>
        <w:tc>
          <w:tcPr>
            <w:tcW w:w="1134" w:type="dxa"/>
            <w:shd w:val="clear" w:color="auto" w:fill="auto"/>
            <w:noWrap/>
            <w:vAlign w:val="center"/>
            <w:hideMark/>
          </w:tcPr>
          <w:p w14:paraId="0E094741" w14:textId="77777777" w:rsidR="00C40D5E" w:rsidRPr="00FD09C9" w:rsidRDefault="00C40D5E" w:rsidP="00162987">
            <w:pPr>
              <w:spacing w:after="0" w:line="240" w:lineRule="auto"/>
              <w:jc w:val="center"/>
              <w:rPr>
                <w:rFonts w:eastAsia="Times New Roman" w:cstheme="minorHAnsi"/>
                <w:color w:val="000000"/>
                <w:lang w:eastAsia="it-IT"/>
              </w:rPr>
            </w:pPr>
            <w:r w:rsidRPr="00FD09C9">
              <w:rPr>
                <w:rFonts w:eastAsia="Times New Roman" w:cstheme="minorHAnsi"/>
                <w:color w:val="000000"/>
                <w:lang w:eastAsia="it-IT"/>
              </w:rPr>
              <w:t>2005-2014</w:t>
            </w:r>
          </w:p>
        </w:tc>
        <w:tc>
          <w:tcPr>
            <w:tcW w:w="1134" w:type="dxa"/>
          </w:tcPr>
          <w:p w14:paraId="14FF51AC" w14:textId="77777777" w:rsidR="00C40D5E" w:rsidRPr="00FD09C9" w:rsidRDefault="00C40D5E" w:rsidP="00162987">
            <w:pPr>
              <w:spacing w:after="0" w:line="240" w:lineRule="auto"/>
              <w:jc w:val="center"/>
              <w:rPr>
                <w:rFonts w:eastAsia="Times New Roman" w:cstheme="minorHAnsi"/>
                <w:color w:val="000000"/>
                <w:lang w:eastAsia="it-IT"/>
              </w:rPr>
            </w:pPr>
            <w:r>
              <w:rPr>
                <w:rFonts w:eastAsia="Times New Roman" w:cstheme="minorHAnsi"/>
                <w:color w:val="000000"/>
                <w:lang w:eastAsia="it-IT"/>
              </w:rPr>
              <w:t>VS</w:t>
            </w:r>
          </w:p>
        </w:tc>
        <w:tc>
          <w:tcPr>
            <w:tcW w:w="1134" w:type="dxa"/>
            <w:shd w:val="clear" w:color="auto" w:fill="auto"/>
            <w:noWrap/>
            <w:vAlign w:val="center"/>
            <w:hideMark/>
          </w:tcPr>
          <w:p w14:paraId="21ECEAC9" w14:textId="77777777" w:rsidR="00C40D5E" w:rsidRPr="00FD09C9" w:rsidRDefault="00C40D5E" w:rsidP="00162987">
            <w:pPr>
              <w:spacing w:after="0" w:line="240" w:lineRule="auto"/>
              <w:jc w:val="center"/>
              <w:rPr>
                <w:rFonts w:eastAsia="Times New Roman" w:cstheme="minorHAnsi"/>
                <w:color w:val="000000"/>
                <w:lang w:eastAsia="it-IT"/>
              </w:rPr>
            </w:pPr>
            <w:r w:rsidRPr="00FD09C9">
              <w:rPr>
                <w:rFonts w:eastAsia="Times New Roman" w:cstheme="minorHAnsi"/>
                <w:color w:val="000000"/>
                <w:lang w:eastAsia="it-IT"/>
              </w:rPr>
              <w:t>4,015</w:t>
            </w:r>
          </w:p>
        </w:tc>
        <w:tc>
          <w:tcPr>
            <w:tcW w:w="1276" w:type="dxa"/>
            <w:shd w:val="clear" w:color="auto" w:fill="auto"/>
            <w:noWrap/>
            <w:vAlign w:val="center"/>
            <w:hideMark/>
          </w:tcPr>
          <w:p w14:paraId="18F7D672" w14:textId="77777777" w:rsidR="00C40D5E" w:rsidRPr="00FD09C9" w:rsidRDefault="00C40D5E" w:rsidP="00162987">
            <w:pPr>
              <w:spacing w:after="0" w:line="240" w:lineRule="auto"/>
              <w:jc w:val="center"/>
              <w:rPr>
                <w:rFonts w:eastAsia="Times New Roman" w:cstheme="minorHAnsi"/>
                <w:color w:val="000000"/>
                <w:lang w:eastAsia="it-IT"/>
              </w:rPr>
            </w:pPr>
            <w:r w:rsidRPr="00FD09C9">
              <w:rPr>
                <w:rFonts w:eastAsia="Times New Roman" w:cstheme="minorHAnsi"/>
                <w:color w:val="000000"/>
                <w:lang w:eastAsia="it-IT"/>
              </w:rPr>
              <w:t>147.3</w:t>
            </w:r>
          </w:p>
        </w:tc>
        <w:tc>
          <w:tcPr>
            <w:tcW w:w="1134" w:type="dxa"/>
            <w:vAlign w:val="center"/>
          </w:tcPr>
          <w:p w14:paraId="76EA9A71" w14:textId="77777777" w:rsidR="00C40D5E" w:rsidRPr="00FD09C9" w:rsidRDefault="00C40D5E" w:rsidP="00162987">
            <w:pPr>
              <w:spacing w:after="0" w:line="240" w:lineRule="auto"/>
              <w:jc w:val="center"/>
              <w:rPr>
                <w:rFonts w:eastAsia="Times New Roman" w:cstheme="minorHAnsi"/>
                <w:color w:val="000000"/>
                <w:lang w:eastAsia="it-IT"/>
              </w:rPr>
            </w:pPr>
            <w:r w:rsidRPr="00FD09C9">
              <w:rPr>
                <w:rFonts w:eastAsia="Times New Roman" w:cstheme="minorHAnsi"/>
                <w:color w:val="000000"/>
                <w:lang w:eastAsia="it-IT"/>
              </w:rPr>
              <w:t>29.9</w:t>
            </w:r>
          </w:p>
        </w:tc>
        <w:tc>
          <w:tcPr>
            <w:tcW w:w="1062" w:type="dxa"/>
            <w:vAlign w:val="center"/>
          </w:tcPr>
          <w:p w14:paraId="2133E8C0" w14:textId="77777777" w:rsidR="00C40D5E" w:rsidRPr="00FD09C9" w:rsidRDefault="00C40D5E" w:rsidP="00162987">
            <w:pPr>
              <w:spacing w:after="0" w:line="240" w:lineRule="auto"/>
              <w:jc w:val="center"/>
              <w:rPr>
                <w:rFonts w:eastAsia="Times New Roman" w:cstheme="minorHAnsi"/>
                <w:color w:val="000000"/>
                <w:lang w:eastAsia="it-IT"/>
              </w:rPr>
            </w:pPr>
            <w:r w:rsidRPr="00FD09C9">
              <w:rPr>
                <w:rFonts w:eastAsia="Times New Roman" w:cstheme="minorHAnsi"/>
                <w:color w:val="000000"/>
                <w:lang w:eastAsia="it-IT"/>
              </w:rPr>
              <w:t>92.2</w:t>
            </w:r>
          </w:p>
        </w:tc>
      </w:tr>
      <w:tr w:rsidR="00C40D5E" w:rsidRPr="00FD09C9" w14:paraId="63F5AEC0" w14:textId="77777777" w:rsidTr="00162987">
        <w:trPr>
          <w:trHeight w:val="283"/>
        </w:trPr>
        <w:tc>
          <w:tcPr>
            <w:tcW w:w="2694" w:type="dxa"/>
            <w:shd w:val="clear" w:color="auto" w:fill="auto"/>
            <w:noWrap/>
            <w:vAlign w:val="center"/>
            <w:hideMark/>
          </w:tcPr>
          <w:p w14:paraId="1CE0A2D9" w14:textId="77777777" w:rsidR="00C40D5E" w:rsidRPr="00FD09C9" w:rsidRDefault="00C40D5E" w:rsidP="00162987">
            <w:pPr>
              <w:spacing w:after="0" w:line="240" w:lineRule="auto"/>
              <w:rPr>
                <w:rFonts w:eastAsia="Times New Roman" w:cstheme="minorHAnsi"/>
                <w:color w:val="000000"/>
                <w:lang w:val="en-GB" w:eastAsia="it-IT"/>
              </w:rPr>
            </w:pPr>
            <w:r w:rsidRPr="00FD09C9">
              <w:rPr>
                <w:rFonts w:eastAsia="Times New Roman" w:cstheme="minorHAnsi"/>
                <w:color w:val="000000"/>
                <w:lang w:val="en-GB" w:eastAsia="it-IT"/>
              </w:rPr>
              <w:t>UK:  East Midlands and South Yorkshire</w:t>
            </w:r>
          </w:p>
        </w:tc>
        <w:tc>
          <w:tcPr>
            <w:tcW w:w="1134" w:type="dxa"/>
            <w:shd w:val="clear" w:color="auto" w:fill="auto"/>
            <w:noWrap/>
            <w:vAlign w:val="center"/>
            <w:hideMark/>
          </w:tcPr>
          <w:p w14:paraId="70D42809" w14:textId="77777777" w:rsidR="00C40D5E" w:rsidRPr="00FD09C9" w:rsidRDefault="00C40D5E" w:rsidP="00162987">
            <w:pPr>
              <w:spacing w:after="0" w:line="240" w:lineRule="auto"/>
              <w:jc w:val="center"/>
              <w:rPr>
                <w:rFonts w:eastAsia="Times New Roman" w:cstheme="minorHAnsi"/>
                <w:color w:val="000000"/>
                <w:lang w:eastAsia="it-IT"/>
              </w:rPr>
            </w:pPr>
            <w:r w:rsidRPr="00FD09C9">
              <w:rPr>
                <w:rFonts w:eastAsia="Times New Roman" w:cstheme="minorHAnsi"/>
                <w:color w:val="000000"/>
                <w:lang w:eastAsia="it-IT"/>
              </w:rPr>
              <w:t>2005-2012</w:t>
            </w:r>
          </w:p>
        </w:tc>
        <w:tc>
          <w:tcPr>
            <w:tcW w:w="1134" w:type="dxa"/>
            <w:vAlign w:val="center"/>
          </w:tcPr>
          <w:p w14:paraId="1610CCDF" w14:textId="77777777" w:rsidR="00C40D5E" w:rsidRPr="00FD09C9" w:rsidRDefault="00C40D5E" w:rsidP="00162987">
            <w:pPr>
              <w:spacing w:after="0" w:line="240" w:lineRule="auto"/>
              <w:jc w:val="center"/>
              <w:rPr>
                <w:rFonts w:eastAsia="Times New Roman" w:cstheme="minorHAnsi"/>
                <w:color w:val="000000"/>
                <w:lang w:eastAsia="it-IT"/>
              </w:rPr>
            </w:pPr>
            <w:r>
              <w:rPr>
                <w:rFonts w:eastAsia="Times New Roman" w:cstheme="minorHAnsi"/>
                <w:color w:val="000000"/>
                <w:lang w:eastAsia="it-IT"/>
              </w:rPr>
              <w:t>VS</w:t>
            </w:r>
          </w:p>
        </w:tc>
        <w:tc>
          <w:tcPr>
            <w:tcW w:w="1134" w:type="dxa"/>
            <w:shd w:val="clear" w:color="auto" w:fill="auto"/>
            <w:noWrap/>
            <w:vAlign w:val="center"/>
            <w:hideMark/>
          </w:tcPr>
          <w:p w14:paraId="1D903432" w14:textId="77777777" w:rsidR="00C40D5E" w:rsidRPr="00FD09C9" w:rsidRDefault="00C40D5E" w:rsidP="00162987">
            <w:pPr>
              <w:spacing w:after="0" w:line="240" w:lineRule="auto"/>
              <w:jc w:val="center"/>
              <w:rPr>
                <w:rFonts w:eastAsia="Times New Roman" w:cstheme="minorHAnsi"/>
                <w:color w:val="000000"/>
                <w:lang w:eastAsia="it-IT"/>
              </w:rPr>
            </w:pPr>
            <w:r w:rsidRPr="00FD09C9">
              <w:rPr>
                <w:rFonts w:eastAsia="Times New Roman" w:cstheme="minorHAnsi"/>
                <w:color w:val="000000"/>
                <w:lang w:eastAsia="it-IT"/>
              </w:rPr>
              <w:t>9,269</w:t>
            </w:r>
          </w:p>
        </w:tc>
        <w:tc>
          <w:tcPr>
            <w:tcW w:w="1276" w:type="dxa"/>
            <w:shd w:val="clear" w:color="auto" w:fill="auto"/>
            <w:noWrap/>
            <w:vAlign w:val="center"/>
            <w:hideMark/>
          </w:tcPr>
          <w:p w14:paraId="402F29F2" w14:textId="77777777" w:rsidR="00C40D5E" w:rsidRPr="00FD09C9" w:rsidRDefault="00C40D5E" w:rsidP="00162987">
            <w:pPr>
              <w:spacing w:after="0" w:line="240" w:lineRule="auto"/>
              <w:jc w:val="center"/>
              <w:rPr>
                <w:rFonts w:eastAsia="Times New Roman" w:cstheme="minorHAnsi"/>
                <w:color w:val="000000"/>
                <w:lang w:eastAsia="it-IT"/>
              </w:rPr>
            </w:pPr>
            <w:r w:rsidRPr="00FD09C9">
              <w:rPr>
                <w:rFonts w:eastAsia="Times New Roman" w:cstheme="minorHAnsi"/>
                <w:color w:val="000000"/>
                <w:lang w:eastAsia="it-IT"/>
              </w:rPr>
              <w:t>161.9</w:t>
            </w:r>
          </w:p>
        </w:tc>
        <w:tc>
          <w:tcPr>
            <w:tcW w:w="1134" w:type="dxa"/>
            <w:vAlign w:val="center"/>
          </w:tcPr>
          <w:p w14:paraId="6C690333" w14:textId="77777777" w:rsidR="00C40D5E" w:rsidRPr="00FD09C9" w:rsidRDefault="00C40D5E" w:rsidP="00162987">
            <w:pPr>
              <w:spacing w:after="0" w:line="240" w:lineRule="auto"/>
              <w:jc w:val="center"/>
              <w:rPr>
                <w:rFonts w:eastAsia="Times New Roman" w:cstheme="minorHAnsi"/>
                <w:color w:val="000000"/>
                <w:lang w:eastAsia="it-IT"/>
              </w:rPr>
            </w:pPr>
            <w:r w:rsidRPr="00FD09C9">
              <w:rPr>
                <w:rFonts w:eastAsia="Times New Roman" w:cstheme="minorHAnsi"/>
                <w:color w:val="000000"/>
                <w:lang w:eastAsia="it-IT"/>
              </w:rPr>
              <w:t>21.1</w:t>
            </w:r>
          </w:p>
        </w:tc>
        <w:tc>
          <w:tcPr>
            <w:tcW w:w="1062" w:type="dxa"/>
            <w:vAlign w:val="center"/>
          </w:tcPr>
          <w:p w14:paraId="13ACB703" w14:textId="77777777" w:rsidR="00C40D5E" w:rsidRPr="00FD09C9" w:rsidRDefault="00C40D5E" w:rsidP="00162987">
            <w:pPr>
              <w:spacing w:after="0" w:line="240" w:lineRule="auto"/>
              <w:jc w:val="center"/>
              <w:rPr>
                <w:rFonts w:eastAsia="Times New Roman" w:cstheme="minorHAnsi"/>
                <w:color w:val="000000"/>
                <w:lang w:eastAsia="it-IT"/>
              </w:rPr>
            </w:pPr>
            <w:r w:rsidRPr="00FD09C9">
              <w:rPr>
                <w:rFonts w:eastAsia="Times New Roman" w:cstheme="minorHAnsi"/>
                <w:color w:val="000000"/>
                <w:lang w:eastAsia="it-IT"/>
              </w:rPr>
              <w:t>97.4</w:t>
            </w:r>
          </w:p>
        </w:tc>
      </w:tr>
      <w:tr w:rsidR="00C40D5E" w:rsidRPr="00FD09C9" w14:paraId="096B053D" w14:textId="77777777" w:rsidTr="00162987">
        <w:trPr>
          <w:trHeight w:val="283"/>
        </w:trPr>
        <w:tc>
          <w:tcPr>
            <w:tcW w:w="2694" w:type="dxa"/>
            <w:shd w:val="clear" w:color="auto" w:fill="auto"/>
            <w:noWrap/>
            <w:vAlign w:val="center"/>
            <w:hideMark/>
          </w:tcPr>
          <w:p w14:paraId="633DF296" w14:textId="77777777" w:rsidR="00C40D5E" w:rsidRPr="00FD09C9" w:rsidRDefault="00C40D5E" w:rsidP="00162987">
            <w:pPr>
              <w:spacing w:after="0" w:line="240" w:lineRule="auto"/>
              <w:rPr>
                <w:rFonts w:eastAsia="Times New Roman" w:cstheme="minorHAnsi"/>
                <w:color w:val="000000"/>
                <w:lang w:eastAsia="it-IT"/>
              </w:rPr>
            </w:pPr>
            <w:r w:rsidRPr="00FD09C9">
              <w:rPr>
                <w:rFonts w:eastAsia="Times New Roman" w:cstheme="minorHAnsi"/>
                <w:color w:val="000000"/>
                <w:lang w:eastAsia="it-IT"/>
              </w:rPr>
              <w:t>Ukraine: OMNI-Net</w:t>
            </w:r>
          </w:p>
        </w:tc>
        <w:tc>
          <w:tcPr>
            <w:tcW w:w="1134" w:type="dxa"/>
            <w:shd w:val="clear" w:color="auto" w:fill="auto"/>
            <w:noWrap/>
            <w:vAlign w:val="center"/>
            <w:hideMark/>
          </w:tcPr>
          <w:p w14:paraId="5A90417A" w14:textId="77777777" w:rsidR="00C40D5E" w:rsidRPr="00FD09C9" w:rsidRDefault="00C40D5E" w:rsidP="00162987">
            <w:pPr>
              <w:spacing w:after="0" w:line="240" w:lineRule="auto"/>
              <w:jc w:val="center"/>
              <w:rPr>
                <w:rFonts w:eastAsia="Times New Roman" w:cstheme="minorHAnsi"/>
                <w:color w:val="000000"/>
                <w:lang w:eastAsia="it-IT"/>
              </w:rPr>
            </w:pPr>
            <w:r w:rsidRPr="00FD09C9">
              <w:rPr>
                <w:rFonts w:eastAsia="Times New Roman" w:cstheme="minorHAnsi"/>
                <w:color w:val="000000"/>
                <w:lang w:eastAsia="it-IT"/>
              </w:rPr>
              <w:t>2006-2014</w:t>
            </w:r>
          </w:p>
        </w:tc>
        <w:tc>
          <w:tcPr>
            <w:tcW w:w="1134" w:type="dxa"/>
          </w:tcPr>
          <w:p w14:paraId="6B2CCF1E" w14:textId="77777777" w:rsidR="00C40D5E" w:rsidRPr="00FD09C9" w:rsidRDefault="00C40D5E" w:rsidP="00162987">
            <w:pPr>
              <w:spacing w:after="0" w:line="240" w:lineRule="auto"/>
              <w:jc w:val="center"/>
              <w:rPr>
                <w:rFonts w:eastAsia="Times New Roman" w:cstheme="minorHAnsi"/>
                <w:color w:val="000000"/>
                <w:lang w:eastAsia="it-IT"/>
              </w:rPr>
            </w:pPr>
            <w:r>
              <w:rPr>
                <w:rFonts w:eastAsia="Times New Roman" w:cstheme="minorHAnsi"/>
                <w:color w:val="000000"/>
                <w:lang w:eastAsia="it-IT"/>
              </w:rPr>
              <w:t>MR</w:t>
            </w:r>
          </w:p>
        </w:tc>
        <w:tc>
          <w:tcPr>
            <w:tcW w:w="1134" w:type="dxa"/>
            <w:shd w:val="clear" w:color="auto" w:fill="auto"/>
            <w:noWrap/>
            <w:vAlign w:val="center"/>
            <w:hideMark/>
          </w:tcPr>
          <w:p w14:paraId="31129E05" w14:textId="77777777" w:rsidR="00C40D5E" w:rsidRPr="00FD09C9" w:rsidRDefault="00C40D5E" w:rsidP="00162987">
            <w:pPr>
              <w:spacing w:after="0" w:line="240" w:lineRule="auto"/>
              <w:jc w:val="center"/>
              <w:rPr>
                <w:rFonts w:eastAsia="Times New Roman" w:cstheme="minorHAnsi"/>
                <w:color w:val="000000"/>
                <w:lang w:eastAsia="it-IT"/>
              </w:rPr>
            </w:pPr>
            <w:r w:rsidRPr="00FD09C9">
              <w:rPr>
                <w:rFonts w:eastAsia="Times New Roman" w:cstheme="minorHAnsi"/>
                <w:color w:val="000000"/>
                <w:lang w:eastAsia="it-IT"/>
              </w:rPr>
              <w:t>5,835</w:t>
            </w:r>
          </w:p>
        </w:tc>
        <w:tc>
          <w:tcPr>
            <w:tcW w:w="1276" w:type="dxa"/>
            <w:shd w:val="clear" w:color="auto" w:fill="auto"/>
            <w:noWrap/>
            <w:vAlign w:val="center"/>
            <w:hideMark/>
          </w:tcPr>
          <w:p w14:paraId="324503DA" w14:textId="77777777" w:rsidR="00C40D5E" w:rsidRPr="00FD09C9" w:rsidRDefault="00C40D5E" w:rsidP="00162987">
            <w:pPr>
              <w:spacing w:after="0" w:line="240" w:lineRule="auto"/>
              <w:jc w:val="center"/>
              <w:rPr>
                <w:rFonts w:eastAsia="Times New Roman" w:cstheme="minorHAnsi"/>
                <w:color w:val="000000"/>
                <w:lang w:eastAsia="it-IT"/>
              </w:rPr>
            </w:pPr>
            <w:r w:rsidRPr="00FD09C9">
              <w:rPr>
                <w:rFonts w:eastAsia="Times New Roman" w:cstheme="minorHAnsi"/>
                <w:color w:val="000000"/>
                <w:lang w:eastAsia="it-IT"/>
              </w:rPr>
              <w:t>204.7</w:t>
            </w:r>
          </w:p>
        </w:tc>
        <w:tc>
          <w:tcPr>
            <w:tcW w:w="1134" w:type="dxa"/>
            <w:vAlign w:val="center"/>
          </w:tcPr>
          <w:p w14:paraId="1CB19A77" w14:textId="77777777" w:rsidR="00C40D5E" w:rsidRPr="00FD09C9" w:rsidRDefault="00C40D5E" w:rsidP="00162987">
            <w:pPr>
              <w:spacing w:after="0" w:line="240" w:lineRule="auto"/>
              <w:jc w:val="center"/>
              <w:rPr>
                <w:rFonts w:eastAsia="Times New Roman" w:cstheme="minorHAnsi"/>
                <w:color w:val="000000"/>
                <w:lang w:eastAsia="it-IT"/>
              </w:rPr>
            </w:pPr>
            <w:r w:rsidRPr="00FD09C9">
              <w:rPr>
                <w:rFonts w:eastAsia="Times New Roman" w:cstheme="minorHAnsi"/>
                <w:color w:val="000000"/>
                <w:lang w:eastAsia="it-IT"/>
              </w:rPr>
              <w:t>13.8</w:t>
            </w:r>
          </w:p>
        </w:tc>
        <w:tc>
          <w:tcPr>
            <w:tcW w:w="1062" w:type="dxa"/>
            <w:vAlign w:val="center"/>
          </w:tcPr>
          <w:p w14:paraId="647F79A8" w14:textId="77777777" w:rsidR="00C40D5E" w:rsidRPr="00FD09C9" w:rsidRDefault="00C40D5E" w:rsidP="00162987">
            <w:pPr>
              <w:spacing w:after="0" w:line="240" w:lineRule="auto"/>
              <w:jc w:val="center"/>
              <w:rPr>
                <w:rFonts w:eastAsia="Times New Roman" w:cstheme="minorHAnsi"/>
                <w:color w:val="000000"/>
                <w:lang w:eastAsia="it-IT"/>
              </w:rPr>
            </w:pPr>
            <w:r w:rsidRPr="00FD09C9">
              <w:rPr>
                <w:rFonts w:eastAsia="Times New Roman" w:cstheme="minorHAnsi"/>
                <w:color w:val="000000"/>
                <w:lang w:eastAsia="it-IT"/>
              </w:rPr>
              <w:t>NA</w:t>
            </w:r>
          </w:p>
        </w:tc>
      </w:tr>
      <w:tr w:rsidR="00C40D5E" w:rsidRPr="00FD09C9" w14:paraId="0400F24B" w14:textId="77777777" w:rsidTr="00162987">
        <w:trPr>
          <w:trHeight w:val="283"/>
        </w:trPr>
        <w:tc>
          <w:tcPr>
            <w:tcW w:w="2694" w:type="dxa"/>
            <w:shd w:val="clear" w:color="auto" w:fill="auto"/>
            <w:noWrap/>
            <w:vAlign w:val="center"/>
          </w:tcPr>
          <w:p w14:paraId="69B4BB84" w14:textId="77777777" w:rsidR="00C40D5E" w:rsidRPr="00FD09C9" w:rsidRDefault="00C40D5E" w:rsidP="00162987">
            <w:pPr>
              <w:spacing w:after="0" w:line="240" w:lineRule="auto"/>
              <w:rPr>
                <w:rFonts w:eastAsia="Times New Roman" w:cstheme="minorHAnsi"/>
                <w:color w:val="000000"/>
                <w:lang w:eastAsia="it-IT"/>
              </w:rPr>
            </w:pPr>
          </w:p>
        </w:tc>
        <w:tc>
          <w:tcPr>
            <w:tcW w:w="1134" w:type="dxa"/>
            <w:shd w:val="clear" w:color="auto" w:fill="auto"/>
            <w:noWrap/>
            <w:vAlign w:val="center"/>
          </w:tcPr>
          <w:p w14:paraId="558AA64C" w14:textId="77777777" w:rsidR="00C40D5E" w:rsidRPr="00FD09C9" w:rsidRDefault="00C40D5E" w:rsidP="00162987">
            <w:pPr>
              <w:spacing w:after="0" w:line="240" w:lineRule="auto"/>
              <w:jc w:val="center"/>
              <w:rPr>
                <w:rFonts w:eastAsia="Times New Roman" w:cstheme="minorHAnsi"/>
                <w:color w:val="000000"/>
                <w:lang w:eastAsia="it-IT"/>
              </w:rPr>
            </w:pPr>
          </w:p>
        </w:tc>
        <w:tc>
          <w:tcPr>
            <w:tcW w:w="1134" w:type="dxa"/>
          </w:tcPr>
          <w:p w14:paraId="431A884D" w14:textId="77777777" w:rsidR="00C40D5E" w:rsidRPr="00FD09C9" w:rsidRDefault="00C40D5E" w:rsidP="00162987">
            <w:pPr>
              <w:spacing w:after="0" w:line="240" w:lineRule="auto"/>
              <w:jc w:val="center"/>
              <w:rPr>
                <w:rFonts w:eastAsia="Times New Roman" w:cstheme="minorHAnsi"/>
                <w:color w:val="000000"/>
                <w:lang w:eastAsia="it-IT"/>
              </w:rPr>
            </w:pPr>
          </w:p>
        </w:tc>
        <w:tc>
          <w:tcPr>
            <w:tcW w:w="1134" w:type="dxa"/>
            <w:shd w:val="clear" w:color="auto" w:fill="auto"/>
            <w:noWrap/>
            <w:vAlign w:val="center"/>
          </w:tcPr>
          <w:p w14:paraId="6BEBD1E1" w14:textId="77777777" w:rsidR="00C40D5E" w:rsidRPr="00FD09C9" w:rsidRDefault="00C40D5E" w:rsidP="00162987">
            <w:pPr>
              <w:spacing w:after="0" w:line="240" w:lineRule="auto"/>
              <w:jc w:val="center"/>
              <w:rPr>
                <w:rFonts w:eastAsia="Times New Roman" w:cstheme="minorHAnsi"/>
                <w:color w:val="000000"/>
                <w:lang w:eastAsia="it-IT"/>
              </w:rPr>
            </w:pPr>
          </w:p>
        </w:tc>
        <w:tc>
          <w:tcPr>
            <w:tcW w:w="1276" w:type="dxa"/>
            <w:shd w:val="clear" w:color="auto" w:fill="auto"/>
            <w:noWrap/>
            <w:vAlign w:val="center"/>
          </w:tcPr>
          <w:p w14:paraId="50DF91C2" w14:textId="77777777" w:rsidR="00C40D5E" w:rsidRPr="00FD09C9" w:rsidRDefault="00C40D5E" w:rsidP="00162987">
            <w:pPr>
              <w:spacing w:after="0" w:line="240" w:lineRule="auto"/>
              <w:jc w:val="center"/>
              <w:rPr>
                <w:rFonts w:eastAsia="Times New Roman" w:cstheme="minorHAnsi"/>
                <w:color w:val="000000"/>
                <w:lang w:eastAsia="it-IT"/>
              </w:rPr>
            </w:pPr>
          </w:p>
        </w:tc>
        <w:tc>
          <w:tcPr>
            <w:tcW w:w="1134" w:type="dxa"/>
            <w:vAlign w:val="center"/>
          </w:tcPr>
          <w:p w14:paraId="2BE7A468" w14:textId="77777777" w:rsidR="00C40D5E" w:rsidRPr="00FD09C9" w:rsidRDefault="00C40D5E" w:rsidP="00162987">
            <w:pPr>
              <w:spacing w:after="0" w:line="240" w:lineRule="auto"/>
              <w:jc w:val="center"/>
              <w:rPr>
                <w:rFonts w:eastAsia="Times New Roman" w:cstheme="minorHAnsi"/>
                <w:color w:val="000000"/>
                <w:lang w:eastAsia="it-IT"/>
              </w:rPr>
            </w:pPr>
          </w:p>
        </w:tc>
        <w:tc>
          <w:tcPr>
            <w:tcW w:w="1062" w:type="dxa"/>
            <w:vAlign w:val="center"/>
          </w:tcPr>
          <w:p w14:paraId="709AF6F4" w14:textId="77777777" w:rsidR="00C40D5E" w:rsidRPr="00FD09C9" w:rsidRDefault="00C40D5E" w:rsidP="00162987">
            <w:pPr>
              <w:spacing w:after="0" w:line="240" w:lineRule="auto"/>
              <w:jc w:val="center"/>
              <w:rPr>
                <w:rFonts w:eastAsia="Times New Roman" w:cstheme="minorHAnsi"/>
                <w:color w:val="000000"/>
                <w:lang w:eastAsia="it-IT"/>
              </w:rPr>
            </w:pPr>
          </w:p>
        </w:tc>
      </w:tr>
      <w:tr w:rsidR="00C40D5E" w:rsidRPr="00FD09C9" w14:paraId="1B281923" w14:textId="77777777" w:rsidTr="00162987">
        <w:trPr>
          <w:trHeight w:val="283"/>
        </w:trPr>
        <w:tc>
          <w:tcPr>
            <w:tcW w:w="2694" w:type="dxa"/>
            <w:shd w:val="clear" w:color="auto" w:fill="auto"/>
            <w:noWrap/>
            <w:vAlign w:val="center"/>
          </w:tcPr>
          <w:p w14:paraId="335BE045" w14:textId="77777777" w:rsidR="00C40D5E" w:rsidRPr="00FD09C9" w:rsidRDefault="00C40D5E" w:rsidP="00162987">
            <w:pPr>
              <w:spacing w:after="0" w:line="240" w:lineRule="auto"/>
              <w:rPr>
                <w:rFonts w:eastAsia="Times New Roman" w:cstheme="minorHAnsi"/>
                <w:color w:val="000000"/>
                <w:lang w:eastAsia="it-IT"/>
              </w:rPr>
            </w:pPr>
            <w:r w:rsidRPr="00FD09C9">
              <w:rPr>
                <w:rFonts w:eastAsia="Times New Roman" w:cstheme="minorHAnsi"/>
                <w:color w:val="000000"/>
                <w:lang w:eastAsia="it-IT"/>
              </w:rPr>
              <w:t>Total</w:t>
            </w:r>
          </w:p>
        </w:tc>
        <w:tc>
          <w:tcPr>
            <w:tcW w:w="1134" w:type="dxa"/>
            <w:shd w:val="clear" w:color="auto" w:fill="auto"/>
            <w:noWrap/>
            <w:vAlign w:val="center"/>
          </w:tcPr>
          <w:p w14:paraId="66B7734F" w14:textId="77777777" w:rsidR="00C40D5E" w:rsidRPr="00FD09C9" w:rsidRDefault="00C40D5E" w:rsidP="00162987">
            <w:pPr>
              <w:spacing w:after="0" w:line="240" w:lineRule="auto"/>
              <w:jc w:val="center"/>
              <w:rPr>
                <w:rFonts w:eastAsia="Times New Roman" w:cstheme="minorHAnsi"/>
                <w:color w:val="000000"/>
                <w:lang w:eastAsia="it-IT"/>
              </w:rPr>
            </w:pPr>
          </w:p>
        </w:tc>
        <w:tc>
          <w:tcPr>
            <w:tcW w:w="1134" w:type="dxa"/>
          </w:tcPr>
          <w:p w14:paraId="26CF790A" w14:textId="77777777" w:rsidR="00C40D5E" w:rsidRPr="00FD09C9" w:rsidRDefault="00C40D5E" w:rsidP="00162987">
            <w:pPr>
              <w:spacing w:after="0" w:line="240" w:lineRule="auto"/>
              <w:jc w:val="center"/>
              <w:rPr>
                <w:rFonts w:eastAsia="Times New Roman" w:cstheme="minorHAnsi"/>
                <w:color w:val="000000"/>
                <w:lang w:eastAsia="it-IT"/>
              </w:rPr>
            </w:pPr>
          </w:p>
        </w:tc>
        <w:tc>
          <w:tcPr>
            <w:tcW w:w="1134" w:type="dxa"/>
            <w:shd w:val="clear" w:color="auto" w:fill="auto"/>
            <w:noWrap/>
            <w:vAlign w:val="center"/>
          </w:tcPr>
          <w:p w14:paraId="00633839" w14:textId="77777777" w:rsidR="00C40D5E" w:rsidRPr="00FD09C9" w:rsidRDefault="00C40D5E" w:rsidP="00162987">
            <w:pPr>
              <w:spacing w:after="0" w:line="240" w:lineRule="auto"/>
              <w:jc w:val="center"/>
              <w:rPr>
                <w:rFonts w:eastAsia="Times New Roman" w:cstheme="minorHAnsi"/>
                <w:color w:val="000000"/>
                <w:lang w:eastAsia="it-IT"/>
              </w:rPr>
            </w:pPr>
            <w:r w:rsidRPr="00FD09C9">
              <w:rPr>
                <w:rFonts w:eastAsia="Times New Roman" w:cstheme="minorHAnsi"/>
                <w:color w:val="000000"/>
                <w:lang w:eastAsia="it-IT"/>
              </w:rPr>
              <w:t>115,219</w:t>
            </w:r>
          </w:p>
        </w:tc>
        <w:tc>
          <w:tcPr>
            <w:tcW w:w="1276" w:type="dxa"/>
            <w:shd w:val="clear" w:color="auto" w:fill="auto"/>
            <w:noWrap/>
            <w:vAlign w:val="center"/>
          </w:tcPr>
          <w:p w14:paraId="79709009" w14:textId="77777777" w:rsidR="00C40D5E" w:rsidRPr="00FD09C9" w:rsidRDefault="00C40D5E" w:rsidP="00162987">
            <w:pPr>
              <w:spacing w:after="0" w:line="240" w:lineRule="auto"/>
              <w:jc w:val="center"/>
              <w:rPr>
                <w:rFonts w:eastAsia="Times New Roman" w:cstheme="minorHAnsi"/>
                <w:color w:val="000000"/>
                <w:lang w:eastAsia="it-IT"/>
              </w:rPr>
            </w:pPr>
            <w:r w:rsidRPr="00FD09C9">
              <w:rPr>
                <w:rFonts w:eastAsia="Times New Roman" w:cstheme="minorHAnsi"/>
                <w:color w:val="000000"/>
                <w:lang w:eastAsia="it-IT"/>
              </w:rPr>
              <w:t>231.1</w:t>
            </w:r>
          </w:p>
        </w:tc>
        <w:tc>
          <w:tcPr>
            <w:tcW w:w="1134" w:type="dxa"/>
            <w:vAlign w:val="center"/>
          </w:tcPr>
          <w:p w14:paraId="6E52A55A" w14:textId="77777777" w:rsidR="00C40D5E" w:rsidRPr="00FD09C9" w:rsidRDefault="00C40D5E" w:rsidP="00162987">
            <w:pPr>
              <w:spacing w:after="0" w:line="240" w:lineRule="auto"/>
              <w:jc w:val="center"/>
              <w:rPr>
                <w:rFonts w:eastAsia="Times New Roman" w:cstheme="minorHAnsi"/>
                <w:color w:val="000000"/>
                <w:lang w:eastAsia="it-IT"/>
              </w:rPr>
            </w:pPr>
            <w:r w:rsidRPr="00FD09C9">
              <w:rPr>
                <w:rFonts w:eastAsia="Times New Roman" w:cstheme="minorHAnsi"/>
                <w:color w:val="000000"/>
                <w:lang w:eastAsia="it-IT"/>
              </w:rPr>
              <w:t>17.6</w:t>
            </w:r>
          </w:p>
        </w:tc>
        <w:tc>
          <w:tcPr>
            <w:tcW w:w="1062" w:type="dxa"/>
            <w:vAlign w:val="center"/>
          </w:tcPr>
          <w:p w14:paraId="739E4E20" w14:textId="77777777" w:rsidR="00C40D5E" w:rsidRPr="00FD09C9" w:rsidRDefault="00C40D5E" w:rsidP="00162987">
            <w:pPr>
              <w:spacing w:after="0" w:line="240" w:lineRule="auto"/>
              <w:jc w:val="center"/>
              <w:rPr>
                <w:rFonts w:eastAsia="Times New Roman" w:cstheme="minorHAnsi"/>
                <w:color w:val="000000"/>
                <w:lang w:eastAsia="it-IT"/>
              </w:rPr>
            </w:pPr>
          </w:p>
        </w:tc>
      </w:tr>
    </w:tbl>
    <w:p w14:paraId="17F893BE" w14:textId="77777777" w:rsidR="00DB1661" w:rsidRPr="00CE66BE" w:rsidRDefault="00DB1661" w:rsidP="00754F3C">
      <w:pPr>
        <w:spacing w:after="0" w:line="240" w:lineRule="auto"/>
        <w:jc w:val="both"/>
        <w:rPr>
          <w:rFonts w:cstheme="minorHAnsi"/>
          <w:sz w:val="18"/>
          <w:szCs w:val="18"/>
          <w:lang w:val="en-GB"/>
        </w:rPr>
      </w:pPr>
      <w:r w:rsidRPr="00CE66BE">
        <w:rPr>
          <w:rFonts w:cstheme="minorHAnsi"/>
          <w:sz w:val="18"/>
          <w:szCs w:val="18"/>
          <w:lang w:val="en-GB"/>
        </w:rPr>
        <w:t>LB=live birth</w:t>
      </w:r>
    </w:p>
    <w:p w14:paraId="3648A93B" w14:textId="77777777" w:rsidR="00DB1661" w:rsidRPr="00CE66BE" w:rsidRDefault="00DB1661" w:rsidP="00754F3C">
      <w:pPr>
        <w:spacing w:after="0" w:line="240" w:lineRule="auto"/>
        <w:jc w:val="both"/>
        <w:rPr>
          <w:rFonts w:cstheme="minorHAnsi"/>
          <w:sz w:val="18"/>
          <w:szCs w:val="18"/>
          <w:lang w:val="en-GB"/>
        </w:rPr>
      </w:pPr>
      <w:r w:rsidRPr="00CE66BE">
        <w:rPr>
          <w:rFonts w:cstheme="minorHAnsi"/>
          <w:sz w:val="18"/>
          <w:szCs w:val="18"/>
          <w:lang w:val="en-GB"/>
        </w:rPr>
        <w:t xml:space="preserve">TOPFA = terminations of pregnancy for </w:t>
      </w:r>
      <w:proofErr w:type="spellStart"/>
      <w:r w:rsidRPr="00CE66BE">
        <w:rPr>
          <w:rFonts w:cstheme="minorHAnsi"/>
          <w:sz w:val="18"/>
          <w:szCs w:val="18"/>
          <w:lang w:val="en-GB"/>
        </w:rPr>
        <w:t>fetal</w:t>
      </w:r>
      <w:proofErr w:type="spellEnd"/>
      <w:r w:rsidRPr="00CE66BE">
        <w:rPr>
          <w:rFonts w:cstheme="minorHAnsi"/>
          <w:sz w:val="18"/>
          <w:szCs w:val="18"/>
          <w:lang w:val="en-GB"/>
        </w:rPr>
        <w:t xml:space="preserve"> anomaly following prenatal diagnosis</w:t>
      </w:r>
    </w:p>
    <w:p w14:paraId="1C9101AB" w14:textId="6C4F9967" w:rsidR="00DB1661" w:rsidRDefault="00BE56B6" w:rsidP="00754F3C">
      <w:pPr>
        <w:spacing w:after="0" w:line="240" w:lineRule="auto"/>
        <w:jc w:val="both"/>
        <w:rPr>
          <w:rFonts w:cstheme="minorHAnsi"/>
          <w:sz w:val="18"/>
          <w:szCs w:val="18"/>
          <w:lang w:val="en-GB"/>
        </w:rPr>
      </w:pPr>
      <w:r w:rsidRPr="00CE66BE">
        <w:rPr>
          <w:rFonts w:cstheme="minorHAnsi"/>
          <w:sz w:val="18"/>
          <w:szCs w:val="18"/>
          <w:lang w:val="en-GB"/>
        </w:rPr>
        <w:t>NA</w:t>
      </w:r>
      <w:r w:rsidR="00DB1661" w:rsidRPr="00CE66BE">
        <w:rPr>
          <w:rFonts w:cstheme="minorHAnsi"/>
          <w:sz w:val="18"/>
          <w:szCs w:val="18"/>
          <w:lang w:val="en-GB"/>
        </w:rPr>
        <w:t xml:space="preserve"> = </w:t>
      </w:r>
      <w:r w:rsidRPr="00CE66BE">
        <w:rPr>
          <w:rFonts w:cstheme="minorHAnsi"/>
          <w:sz w:val="18"/>
          <w:szCs w:val="18"/>
          <w:lang w:val="en-GB"/>
        </w:rPr>
        <w:t>Not available</w:t>
      </w:r>
      <w:r w:rsidR="00DB1661" w:rsidRPr="00CE66BE">
        <w:rPr>
          <w:rFonts w:cstheme="minorHAnsi"/>
          <w:sz w:val="18"/>
          <w:szCs w:val="18"/>
          <w:lang w:val="en-GB"/>
        </w:rPr>
        <w:t xml:space="preserve"> as linkage only to mortality database</w:t>
      </w:r>
    </w:p>
    <w:p w14:paraId="44BCEDD8" w14:textId="6477762C" w:rsidR="004A6F16" w:rsidRPr="00CE66BE" w:rsidRDefault="004A6F16" w:rsidP="00754F3C">
      <w:pPr>
        <w:spacing w:after="0" w:line="240" w:lineRule="auto"/>
        <w:jc w:val="both"/>
        <w:rPr>
          <w:rFonts w:cstheme="minorHAnsi"/>
          <w:sz w:val="18"/>
          <w:szCs w:val="18"/>
          <w:lang w:val="en-GB"/>
        </w:rPr>
      </w:pPr>
      <w:r w:rsidRPr="004A6F16">
        <w:rPr>
          <w:rFonts w:cstheme="minorHAnsi"/>
          <w:sz w:val="18"/>
          <w:szCs w:val="18"/>
          <w:lang w:val="en-GB"/>
        </w:rPr>
        <w:t>MR: registry linked to mortality record database; VS: registry linked to national/vital statistics database</w:t>
      </w:r>
    </w:p>
    <w:p w14:paraId="01F9D0AC" w14:textId="77F2EB47" w:rsidR="00DB1661" w:rsidRPr="00CE66BE" w:rsidRDefault="00DB1661" w:rsidP="00754F3C">
      <w:pPr>
        <w:spacing w:after="0" w:line="240" w:lineRule="auto"/>
        <w:jc w:val="both"/>
        <w:rPr>
          <w:rFonts w:cstheme="minorHAnsi"/>
          <w:sz w:val="18"/>
          <w:szCs w:val="18"/>
          <w:lang w:val="en-GB"/>
        </w:rPr>
      </w:pPr>
      <w:r w:rsidRPr="00CE66BE">
        <w:rPr>
          <w:rFonts w:cstheme="minorHAnsi"/>
          <w:sz w:val="18"/>
          <w:szCs w:val="18"/>
          <w:lang w:val="en-GB"/>
        </w:rPr>
        <w:t xml:space="preserve">* extracted by EUROCAT website: </w:t>
      </w:r>
      <w:r w:rsidR="007F3FEB" w:rsidRPr="00CE66BE">
        <w:rPr>
          <w:rFonts w:cstheme="minorHAnsi"/>
          <w:sz w:val="18"/>
          <w:szCs w:val="18"/>
          <w:lang w:val="en-GB"/>
        </w:rPr>
        <w:t>https://eu-rd-platform.jrc.ec.europa.eu/eurocat/eurocat-data/prevalence_en. Accessed 21 March 2021</w:t>
      </w:r>
      <w:r w:rsidRPr="00CE66BE">
        <w:rPr>
          <w:rFonts w:cstheme="minorHAnsi"/>
          <w:sz w:val="18"/>
          <w:szCs w:val="18"/>
          <w:lang w:val="en-GB"/>
        </w:rPr>
        <w:t>.</w:t>
      </w:r>
    </w:p>
    <w:p w14:paraId="477C8435" w14:textId="02A1BB5F" w:rsidR="007F3FEB" w:rsidRPr="00CE66BE" w:rsidRDefault="007F3FEB" w:rsidP="00754F3C">
      <w:pPr>
        <w:spacing w:after="0" w:line="240" w:lineRule="auto"/>
        <w:jc w:val="both"/>
        <w:rPr>
          <w:rFonts w:cstheme="minorHAnsi"/>
          <w:sz w:val="18"/>
          <w:szCs w:val="18"/>
          <w:lang w:val="en-GB"/>
        </w:rPr>
      </w:pPr>
      <w:r w:rsidRPr="00CE66BE">
        <w:rPr>
          <w:rFonts w:cstheme="minorHAnsi"/>
          <w:sz w:val="18"/>
          <w:szCs w:val="18"/>
          <w:vertAlign w:val="superscript"/>
          <w:lang w:val="en-GB"/>
        </w:rPr>
        <w:t>#</w:t>
      </w:r>
      <w:r w:rsidRPr="00CE66BE">
        <w:rPr>
          <w:rFonts w:cstheme="minorHAnsi"/>
          <w:sz w:val="18"/>
          <w:szCs w:val="18"/>
          <w:lang w:val="en-GB"/>
        </w:rPr>
        <w:t xml:space="preserve"> In Malta termination of pregnancy is illegal</w:t>
      </w:r>
    </w:p>
    <w:p w14:paraId="31CD4D59" w14:textId="42F707FE" w:rsidR="00831448" w:rsidRPr="00CE66BE" w:rsidRDefault="00C90369" w:rsidP="00754F3C">
      <w:pPr>
        <w:spacing w:after="0" w:line="240" w:lineRule="auto"/>
        <w:jc w:val="both"/>
        <w:rPr>
          <w:rFonts w:cstheme="minorHAnsi"/>
          <w:sz w:val="18"/>
          <w:szCs w:val="18"/>
          <w:lang w:val="en-GB"/>
        </w:rPr>
      </w:pPr>
      <w:r w:rsidRPr="00CE66BE">
        <w:rPr>
          <w:rFonts w:cstheme="minorHAnsi"/>
          <w:sz w:val="20"/>
          <w:szCs w:val="20"/>
          <w:lang w:val="en-GB"/>
        </w:rPr>
        <w:t>°</w:t>
      </w:r>
      <w:r w:rsidRPr="00CE66BE">
        <w:rPr>
          <w:rFonts w:cstheme="minorHAnsi"/>
          <w:sz w:val="18"/>
          <w:szCs w:val="18"/>
          <w:lang w:val="en-GB"/>
        </w:rPr>
        <w:t>For Netherlands: Northern, due to small number restrictions for all values the last digits are rounded to 0 or 5</w:t>
      </w:r>
    </w:p>
    <w:p w14:paraId="67C6F7E6" w14:textId="77777777" w:rsidR="00DB1661" w:rsidRDefault="00DB1661" w:rsidP="00754F3C">
      <w:pPr>
        <w:jc w:val="both"/>
        <w:rPr>
          <w:lang w:val="en-GB"/>
        </w:rPr>
      </w:pPr>
    </w:p>
    <w:p w14:paraId="57213335" w14:textId="77777777" w:rsidR="00DB1661" w:rsidRDefault="00DB1661" w:rsidP="00DB1661">
      <w:pPr>
        <w:rPr>
          <w:b/>
          <w:lang w:val="en-GB"/>
        </w:rPr>
      </w:pPr>
    </w:p>
    <w:p w14:paraId="2FB66460" w14:textId="77777777" w:rsidR="00DB1661" w:rsidRDefault="00DB1661" w:rsidP="00DB1661">
      <w:pPr>
        <w:rPr>
          <w:b/>
          <w:lang w:val="en-GB"/>
        </w:rPr>
      </w:pPr>
    </w:p>
    <w:p w14:paraId="033594D7" w14:textId="77777777" w:rsidR="00DB1661" w:rsidRDefault="00DB1661" w:rsidP="00DB1661">
      <w:pPr>
        <w:rPr>
          <w:b/>
          <w:lang w:val="en-GB"/>
        </w:rPr>
      </w:pPr>
    </w:p>
    <w:p w14:paraId="399BA70A" w14:textId="77777777" w:rsidR="00DB1661" w:rsidRDefault="00DB1661" w:rsidP="00DB1661">
      <w:pPr>
        <w:rPr>
          <w:b/>
          <w:lang w:val="en-GB"/>
        </w:rPr>
      </w:pPr>
    </w:p>
    <w:p w14:paraId="2364078C" w14:textId="77777777" w:rsidR="00DB1661" w:rsidRDefault="00DB1661" w:rsidP="00DB1661">
      <w:pPr>
        <w:rPr>
          <w:b/>
          <w:lang w:val="en-GB"/>
        </w:rPr>
      </w:pPr>
    </w:p>
    <w:p w14:paraId="4F825954" w14:textId="77777777" w:rsidR="00DB1661" w:rsidRDefault="00DB1661" w:rsidP="00DB1661">
      <w:pPr>
        <w:rPr>
          <w:b/>
          <w:lang w:val="en-GB"/>
        </w:rPr>
      </w:pPr>
    </w:p>
    <w:p w14:paraId="56A9D2B1" w14:textId="77777777" w:rsidR="00DB1661" w:rsidRDefault="00DB1661" w:rsidP="00DB1661">
      <w:pPr>
        <w:rPr>
          <w:b/>
          <w:lang w:val="en-GB"/>
        </w:rPr>
      </w:pPr>
    </w:p>
    <w:p w14:paraId="4C04AEB6" w14:textId="77777777" w:rsidR="00DB1661" w:rsidRDefault="00DB1661" w:rsidP="00DB1661">
      <w:pPr>
        <w:rPr>
          <w:b/>
          <w:lang w:val="en-GB"/>
        </w:rPr>
      </w:pPr>
    </w:p>
    <w:p w14:paraId="7E5B1A05" w14:textId="707DF798" w:rsidR="008C5AF1" w:rsidRPr="00CE66BE" w:rsidRDefault="008C5AF1" w:rsidP="00754F3C">
      <w:pPr>
        <w:spacing w:after="0"/>
        <w:jc w:val="both"/>
        <w:rPr>
          <w:rFonts w:cstheme="minorHAnsi"/>
          <w:lang w:val="en-GB"/>
        </w:rPr>
      </w:pPr>
      <w:r w:rsidRPr="00CE66BE">
        <w:rPr>
          <w:rFonts w:cstheme="minorHAnsi"/>
          <w:b/>
          <w:lang w:val="en-GB"/>
        </w:rPr>
        <w:lastRenderedPageBreak/>
        <w:t>Table 2</w:t>
      </w:r>
      <w:r w:rsidRPr="00CE66BE">
        <w:rPr>
          <w:rFonts w:cstheme="minorHAnsi"/>
          <w:lang w:val="en-GB"/>
        </w:rPr>
        <w:t xml:space="preserve"> Hazard Ratios (HR) with 95% Confidence Intervals (CI) for risk of infant death (&lt;1 year) and deaths between 1-9 years of age for ‘All anomalies’ </w:t>
      </w:r>
      <w:r w:rsidR="00C40D5E">
        <w:rPr>
          <w:rFonts w:cstheme="minorHAnsi"/>
          <w:lang w:val="en-GB"/>
        </w:rPr>
        <w:t xml:space="preserve">and isolated </w:t>
      </w:r>
      <w:r w:rsidR="00C40D5E" w:rsidRPr="00CE66BE">
        <w:rPr>
          <w:rFonts w:cstheme="minorHAnsi"/>
          <w:lang w:val="en-GB"/>
        </w:rPr>
        <w:t>severe Congenital Heart Defects (CHD)</w:t>
      </w:r>
      <w:r w:rsidR="00C40D5E">
        <w:rPr>
          <w:rFonts w:cstheme="minorHAnsi"/>
          <w:lang w:val="en-GB"/>
        </w:rPr>
        <w:t xml:space="preserve"> </w:t>
      </w:r>
      <w:r w:rsidRPr="00CE66BE">
        <w:rPr>
          <w:rFonts w:cstheme="minorHAnsi"/>
          <w:lang w:val="en-GB"/>
        </w:rPr>
        <w:t>comparing birth year periods (2005-2014 with 1995-2004 (reference)) by registry.</w:t>
      </w:r>
    </w:p>
    <w:tbl>
      <w:tblPr>
        <w:tblW w:w="0" w:type="auto"/>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2400"/>
        <w:gridCol w:w="1361"/>
        <w:gridCol w:w="1814"/>
        <w:gridCol w:w="1361"/>
        <w:gridCol w:w="1814"/>
      </w:tblGrid>
      <w:tr w:rsidR="00C40D5E" w:rsidRPr="00CE66BE" w14:paraId="02BEFDEC" w14:textId="77777777" w:rsidTr="00162987">
        <w:trPr>
          <w:trHeight w:val="380"/>
        </w:trPr>
        <w:tc>
          <w:tcPr>
            <w:tcW w:w="2400" w:type="dxa"/>
            <w:tcBorders>
              <w:top w:val="single" w:sz="4" w:space="0" w:color="auto"/>
              <w:left w:val="nil"/>
              <w:bottom w:val="nil"/>
              <w:right w:val="nil"/>
            </w:tcBorders>
            <w:shd w:val="clear" w:color="auto" w:fill="auto"/>
            <w:vAlign w:val="bottom"/>
          </w:tcPr>
          <w:p w14:paraId="60553370" w14:textId="77777777" w:rsidR="00C40D5E" w:rsidRPr="00CE66BE" w:rsidRDefault="00C40D5E" w:rsidP="00162987">
            <w:pPr>
              <w:spacing w:after="0" w:line="240" w:lineRule="auto"/>
              <w:rPr>
                <w:rFonts w:eastAsia="Times New Roman" w:cstheme="minorHAnsi"/>
                <w:b/>
                <w:bCs/>
                <w:color w:val="000000"/>
              </w:rPr>
            </w:pPr>
            <w:proofErr w:type="spellStart"/>
            <w:r w:rsidRPr="00CE66BE">
              <w:rPr>
                <w:rFonts w:eastAsia="Times New Roman" w:cstheme="minorHAnsi"/>
                <w:b/>
                <w:bCs/>
                <w:color w:val="000000"/>
              </w:rPr>
              <w:t>Registry</w:t>
            </w:r>
            <w:proofErr w:type="spellEnd"/>
            <w:r w:rsidRPr="00CE66BE">
              <w:rPr>
                <w:rFonts w:eastAsia="Times New Roman" w:cstheme="minorHAnsi"/>
                <w:b/>
                <w:bCs/>
                <w:color w:val="000000"/>
              </w:rPr>
              <w:t>*</w:t>
            </w:r>
          </w:p>
        </w:tc>
        <w:tc>
          <w:tcPr>
            <w:tcW w:w="3175" w:type="dxa"/>
            <w:gridSpan w:val="2"/>
            <w:tcBorders>
              <w:top w:val="single" w:sz="4" w:space="0" w:color="auto"/>
              <w:left w:val="nil"/>
              <w:bottom w:val="nil"/>
              <w:right w:val="nil"/>
            </w:tcBorders>
            <w:shd w:val="clear" w:color="auto" w:fill="auto"/>
            <w:vAlign w:val="bottom"/>
            <w:hideMark/>
          </w:tcPr>
          <w:p w14:paraId="3FA32B8D" w14:textId="77777777" w:rsidR="00C40D5E" w:rsidRPr="00CE66BE" w:rsidRDefault="00C40D5E" w:rsidP="00162987">
            <w:pPr>
              <w:spacing w:after="0" w:line="240" w:lineRule="auto"/>
              <w:jc w:val="center"/>
              <w:rPr>
                <w:rFonts w:eastAsia="Times New Roman" w:cstheme="minorHAnsi"/>
                <w:b/>
                <w:bCs/>
                <w:color w:val="000000"/>
              </w:rPr>
            </w:pPr>
            <w:proofErr w:type="spellStart"/>
            <w:r w:rsidRPr="00CE66BE">
              <w:rPr>
                <w:rFonts w:eastAsia="Times New Roman" w:cstheme="minorHAnsi"/>
                <w:b/>
                <w:bCs/>
                <w:color w:val="000000"/>
              </w:rPr>
              <w:t>Deaths</w:t>
            </w:r>
            <w:proofErr w:type="spellEnd"/>
            <w:r w:rsidRPr="00CE66BE">
              <w:rPr>
                <w:rFonts w:eastAsia="Times New Roman" w:cstheme="minorHAnsi"/>
                <w:b/>
                <w:bCs/>
                <w:color w:val="000000"/>
              </w:rPr>
              <w:t xml:space="preserve"> &lt;1 </w:t>
            </w:r>
            <w:proofErr w:type="spellStart"/>
            <w:r w:rsidRPr="00CE66BE">
              <w:rPr>
                <w:rFonts w:eastAsia="Times New Roman" w:cstheme="minorHAnsi"/>
                <w:b/>
                <w:bCs/>
                <w:color w:val="000000"/>
              </w:rPr>
              <w:t>year</w:t>
            </w:r>
            <w:proofErr w:type="spellEnd"/>
          </w:p>
        </w:tc>
        <w:tc>
          <w:tcPr>
            <w:tcW w:w="3175" w:type="dxa"/>
            <w:gridSpan w:val="2"/>
            <w:tcBorders>
              <w:top w:val="single" w:sz="4" w:space="0" w:color="auto"/>
              <w:left w:val="nil"/>
              <w:bottom w:val="nil"/>
              <w:right w:val="nil"/>
            </w:tcBorders>
            <w:shd w:val="clear" w:color="auto" w:fill="auto"/>
            <w:noWrap/>
            <w:vAlign w:val="bottom"/>
            <w:hideMark/>
          </w:tcPr>
          <w:p w14:paraId="71CA8E38" w14:textId="77777777" w:rsidR="00C40D5E" w:rsidRPr="00CE66BE" w:rsidRDefault="00C40D5E" w:rsidP="00162987">
            <w:pPr>
              <w:spacing w:after="0" w:line="240" w:lineRule="auto"/>
              <w:jc w:val="center"/>
              <w:rPr>
                <w:rFonts w:eastAsia="Times New Roman" w:cstheme="minorHAnsi"/>
                <w:b/>
                <w:bCs/>
                <w:color w:val="000000"/>
              </w:rPr>
            </w:pPr>
            <w:proofErr w:type="spellStart"/>
            <w:r w:rsidRPr="00CE66BE">
              <w:rPr>
                <w:rFonts w:eastAsia="Times New Roman" w:cstheme="minorHAnsi"/>
                <w:b/>
                <w:bCs/>
                <w:color w:val="000000"/>
              </w:rPr>
              <w:t>Deaths</w:t>
            </w:r>
            <w:proofErr w:type="spellEnd"/>
            <w:r w:rsidRPr="00CE66BE">
              <w:rPr>
                <w:rFonts w:eastAsia="Times New Roman" w:cstheme="minorHAnsi"/>
                <w:b/>
                <w:bCs/>
                <w:color w:val="000000"/>
              </w:rPr>
              <w:t xml:space="preserve"> </w:t>
            </w:r>
            <w:proofErr w:type="spellStart"/>
            <w:r w:rsidRPr="00CE66BE">
              <w:rPr>
                <w:rFonts w:eastAsia="Times New Roman" w:cstheme="minorHAnsi"/>
                <w:b/>
                <w:bCs/>
                <w:color w:val="000000"/>
              </w:rPr>
              <w:t>age</w:t>
            </w:r>
            <w:proofErr w:type="spellEnd"/>
            <w:r w:rsidRPr="00CE66BE">
              <w:rPr>
                <w:rFonts w:eastAsia="Times New Roman" w:cstheme="minorHAnsi"/>
                <w:b/>
                <w:bCs/>
                <w:color w:val="000000"/>
              </w:rPr>
              <w:t xml:space="preserve"> 1-9 </w:t>
            </w:r>
            <w:proofErr w:type="spellStart"/>
            <w:r w:rsidRPr="00CE66BE">
              <w:rPr>
                <w:rFonts w:eastAsia="Times New Roman" w:cstheme="minorHAnsi"/>
                <w:b/>
                <w:bCs/>
                <w:color w:val="000000"/>
              </w:rPr>
              <w:t>years</w:t>
            </w:r>
            <w:proofErr w:type="spellEnd"/>
          </w:p>
        </w:tc>
      </w:tr>
      <w:tr w:rsidR="00C40D5E" w:rsidRPr="00CE66BE" w14:paraId="713D8551" w14:textId="77777777" w:rsidTr="00162987">
        <w:trPr>
          <w:trHeight w:val="600"/>
        </w:trPr>
        <w:tc>
          <w:tcPr>
            <w:tcW w:w="2400" w:type="dxa"/>
            <w:tcBorders>
              <w:top w:val="nil"/>
              <w:left w:val="nil"/>
              <w:bottom w:val="single" w:sz="4" w:space="0" w:color="auto"/>
              <w:right w:val="nil"/>
            </w:tcBorders>
            <w:shd w:val="clear" w:color="auto" w:fill="auto"/>
            <w:vAlign w:val="bottom"/>
          </w:tcPr>
          <w:p w14:paraId="741FF8B5" w14:textId="77777777" w:rsidR="00C40D5E" w:rsidRPr="00CE66BE" w:rsidRDefault="00C40D5E" w:rsidP="00162987">
            <w:pPr>
              <w:spacing w:after="0" w:line="240" w:lineRule="auto"/>
              <w:rPr>
                <w:rFonts w:eastAsia="Times New Roman" w:cstheme="minorHAnsi"/>
                <w:b/>
                <w:bCs/>
                <w:color w:val="000000"/>
              </w:rPr>
            </w:pPr>
          </w:p>
        </w:tc>
        <w:tc>
          <w:tcPr>
            <w:tcW w:w="1361" w:type="dxa"/>
            <w:tcBorders>
              <w:top w:val="nil"/>
              <w:left w:val="nil"/>
              <w:bottom w:val="single" w:sz="4" w:space="0" w:color="auto"/>
              <w:right w:val="nil"/>
            </w:tcBorders>
            <w:shd w:val="clear" w:color="auto" w:fill="auto"/>
            <w:vAlign w:val="bottom"/>
            <w:hideMark/>
          </w:tcPr>
          <w:p w14:paraId="09953DE2" w14:textId="77777777" w:rsidR="00C40D5E" w:rsidRPr="00CE66BE" w:rsidRDefault="00C40D5E" w:rsidP="00162987">
            <w:pPr>
              <w:spacing w:after="0" w:line="240" w:lineRule="auto"/>
              <w:jc w:val="center"/>
              <w:rPr>
                <w:rFonts w:eastAsia="Times New Roman" w:cstheme="minorHAnsi"/>
                <w:b/>
                <w:bCs/>
                <w:color w:val="000000"/>
              </w:rPr>
            </w:pPr>
            <w:proofErr w:type="spellStart"/>
            <w:r w:rsidRPr="00CE66BE">
              <w:rPr>
                <w:rFonts w:eastAsia="Times New Roman" w:cstheme="minorHAnsi"/>
                <w:b/>
                <w:bCs/>
                <w:color w:val="000000"/>
              </w:rPr>
              <w:t>Number</w:t>
            </w:r>
            <w:proofErr w:type="spellEnd"/>
            <w:r w:rsidRPr="00CE66BE">
              <w:rPr>
                <w:rFonts w:eastAsia="Times New Roman" w:cstheme="minorHAnsi"/>
                <w:b/>
                <w:bCs/>
                <w:color w:val="000000"/>
              </w:rPr>
              <w:t xml:space="preserve"> live </w:t>
            </w:r>
            <w:proofErr w:type="spellStart"/>
            <w:r w:rsidRPr="00CE66BE">
              <w:rPr>
                <w:rFonts w:eastAsia="Times New Roman" w:cstheme="minorHAnsi"/>
                <w:b/>
                <w:bCs/>
                <w:color w:val="000000"/>
              </w:rPr>
              <w:t>births</w:t>
            </w:r>
            <w:proofErr w:type="spellEnd"/>
          </w:p>
        </w:tc>
        <w:tc>
          <w:tcPr>
            <w:tcW w:w="1814" w:type="dxa"/>
            <w:tcBorders>
              <w:top w:val="nil"/>
              <w:left w:val="nil"/>
              <w:bottom w:val="single" w:sz="4" w:space="0" w:color="auto"/>
              <w:right w:val="nil"/>
            </w:tcBorders>
            <w:shd w:val="clear" w:color="auto" w:fill="auto"/>
            <w:noWrap/>
            <w:vAlign w:val="bottom"/>
            <w:hideMark/>
          </w:tcPr>
          <w:p w14:paraId="3D73B08A" w14:textId="77777777" w:rsidR="00C40D5E" w:rsidRPr="00CE66BE" w:rsidRDefault="00C40D5E" w:rsidP="00162987">
            <w:pPr>
              <w:spacing w:after="0" w:line="240" w:lineRule="auto"/>
              <w:jc w:val="center"/>
              <w:rPr>
                <w:rFonts w:eastAsia="Times New Roman" w:cstheme="minorHAnsi"/>
                <w:b/>
                <w:bCs/>
                <w:color w:val="000000"/>
              </w:rPr>
            </w:pPr>
            <w:r w:rsidRPr="00CE66BE">
              <w:rPr>
                <w:rFonts w:eastAsia="Times New Roman" w:cstheme="minorHAnsi"/>
                <w:b/>
                <w:bCs/>
                <w:color w:val="000000"/>
              </w:rPr>
              <w:t>HR</w:t>
            </w:r>
            <w:r>
              <w:rPr>
                <w:rFonts w:eastAsia="Times New Roman" w:cstheme="minorHAnsi"/>
                <w:b/>
                <w:bCs/>
                <w:color w:val="000000"/>
              </w:rPr>
              <w:t xml:space="preserve"> (</w:t>
            </w:r>
            <w:r w:rsidRPr="00CE66BE">
              <w:rPr>
                <w:rFonts w:eastAsia="Times New Roman" w:cstheme="minorHAnsi"/>
                <w:b/>
                <w:bCs/>
                <w:color w:val="000000"/>
              </w:rPr>
              <w:t>95% CI</w:t>
            </w:r>
            <w:r>
              <w:rPr>
                <w:rFonts w:eastAsia="Times New Roman" w:cstheme="minorHAnsi"/>
                <w:b/>
                <w:bCs/>
                <w:color w:val="000000"/>
              </w:rPr>
              <w:t>)</w:t>
            </w:r>
          </w:p>
        </w:tc>
        <w:tc>
          <w:tcPr>
            <w:tcW w:w="1361" w:type="dxa"/>
            <w:tcBorders>
              <w:top w:val="nil"/>
              <w:left w:val="nil"/>
              <w:bottom w:val="single" w:sz="4" w:space="0" w:color="auto"/>
              <w:right w:val="nil"/>
            </w:tcBorders>
            <w:shd w:val="clear" w:color="auto" w:fill="auto"/>
            <w:vAlign w:val="bottom"/>
            <w:hideMark/>
          </w:tcPr>
          <w:p w14:paraId="1A4862C5" w14:textId="77777777" w:rsidR="00C40D5E" w:rsidRPr="00CE66BE" w:rsidRDefault="00C40D5E" w:rsidP="00162987">
            <w:pPr>
              <w:spacing w:after="0" w:line="240" w:lineRule="auto"/>
              <w:jc w:val="center"/>
              <w:rPr>
                <w:rFonts w:eastAsia="Times New Roman" w:cstheme="minorHAnsi"/>
                <w:b/>
                <w:bCs/>
                <w:color w:val="000000"/>
              </w:rPr>
            </w:pPr>
            <w:proofErr w:type="spellStart"/>
            <w:r w:rsidRPr="00CE66BE">
              <w:rPr>
                <w:rFonts w:eastAsia="Times New Roman" w:cstheme="minorHAnsi"/>
                <w:b/>
                <w:bCs/>
                <w:color w:val="000000"/>
              </w:rPr>
              <w:t>Number</w:t>
            </w:r>
            <w:proofErr w:type="spellEnd"/>
            <w:r w:rsidRPr="00CE66BE">
              <w:rPr>
                <w:rFonts w:eastAsia="Times New Roman" w:cstheme="minorHAnsi"/>
                <w:b/>
                <w:bCs/>
                <w:color w:val="000000"/>
              </w:rPr>
              <w:t xml:space="preserve"> </w:t>
            </w:r>
            <w:proofErr w:type="spellStart"/>
            <w:r w:rsidRPr="00CE66BE">
              <w:rPr>
                <w:rFonts w:eastAsia="Times New Roman" w:cstheme="minorHAnsi"/>
                <w:b/>
                <w:bCs/>
                <w:color w:val="000000"/>
              </w:rPr>
              <w:t>alive</w:t>
            </w:r>
            <w:proofErr w:type="spellEnd"/>
            <w:r w:rsidRPr="00CE66BE">
              <w:rPr>
                <w:rFonts w:eastAsia="Times New Roman" w:cstheme="minorHAnsi"/>
                <w:b/>
                <w:bCs/>
                <w:color w:val="000000"/>
              </w:rPr>
              <w:t xml:space="preserve"> at </w:t>
            </w:r>
            <w:proofErr w:type="spellStart"/>
            <w:r w:rsidRPr="00CE66BE">
              <w:rPr>
                <w:rFonts w:eastAsia="Times New Roman" w:cstheme="minorHAnsi"/>
                <w:b/>
                <w:bCs/>
                <w:color w:val="000000"/>
              </w:rPr>
              <w:t>age</w:t>
            </w:r>
            <w:proofErr w:type="spellEnd"/>
            <w:r w:rsidRPr="00CE66BE">
              <w:rPr>
                <w:rFonts w:eastAsia="Times New Roman" w:cstheme="minorHAnsi"/>
                <w:b/>
                <w:bCs/>
                <w:color w:val="000000"/>
              </w:rPr>
              <w:t xml:space="preserve"> 1</w:t>
            </w:r>
          </w:p>
        </w:tc>
        <w:tc>
          <w:tcPr>
            <w:tcW w:w="1814" w:type="dxa"/>
            <w:tcBorders>
              <w:top w:val="nil"/>
              <w:left w:val="nil"/>
              <w:bottom w:val="single" w:sz="4" w:space="0" w:color="auto"/>
              <w:right w:val="nil"/>
            </w:tcBorders>
            <w:shd w:val="clear" w:color="auto" w:fill="auto"/>
            <w:noWrap/>
            <w:vAlign w:val="bottom"/>
            <w:hideMark/>
          </w:tcPr>
          <w:p w14:paraId="6601E1BA" w14:textId="77777777" w:rsidR="00C40D5E" w:rsidRPr="00CE66BE" w:rsidRDefault="00C40D5E" w:rsidP="00162987">
            <w:pPr>
              <w:spacing w:after="0" w:line="240" w:lineRule="auto"/>
              <w:jc w:val="center"/>
              <w:rPr>
                <w:rFonts w:eastAsia="Times New Roman" w:cstheme="minorHAnsi"/>
                <w:b/>
                <w:bCs/>
                <w:color w:val="000000"/>
              </w:rPr>
            </w:pPr>
            <w:r w:rsidRPr="00CE66BE">
              <w:rPr>
                <w:rFonts w:eastAsia="Times New Roman" w:cstheme="minorHAnsi"/>
                <w:b/>
                <w:bCs/>
                <w:color w:val="000000"/>
              </w:rPr>
              <w:t>HR</w:t>
            </w:r>
            <w:r>
              <w:rPr>
                <w:rFonts w:eastAsia="Times New Roman" w:cstheme="minorHAnsi"/>
                <w:b/>
                <w:bCs/>
                <w:color w:val="000000"/>
              </w:rPr>
              <w:t xml:space="preserve"> (</w:t>
            </w:r>
            <w:r w:rsidRPr="00CE66BE">
              <w:rPr>
                <w:rFonts w:eastAsia="Times New Roman" w:cstheme="minorHAnsi"/>
                <w:b/>
                <w:bCs/>
                <w:color w:val="000000"/>
              </w:rPr>
              <w:t>95% CI</w:t>
            </w:r>
            <w:r>
              <w:rPr>
                <w:rFonts w:eastAsia="Times New Roman" w:cstheme="minorHAnsi"/>
                <w:b/>
                <w:bCs/>
                <w:color w:val="000000"/>
              </w:rPr>
              <w:t>)</w:t>
            </w:r>
          </w:p>
        </w:tc>
      </w:tr>
      <w:tr w:rsidR="00C40D5E" w:rsidRPr="00CE66BE" w14:paraId="0F581E9C" w14:textId="77777777" w:rsidTr="00162987">
        <w:trPr>
          <w:trHeight w:val="290"/>
        </w:trPr>
        <w:tc>
          <w:tcPr>
            <w:tcW w:w="2400" w:type="dxa"/>
            <w:tcBorders>
              <w:top w:val="single" w:sz="4" w:space="0" w:color="auto"/>
              <w:bottom w:val="nil"/>
            </w:tcBorders>
            <w:shd w:val="clear" w:color="auto" w:fill="auto"/>
            <w:noWrap/>
            <w:vAlign w:val="bottom"/>
          </w:tcPr>
          <w:p w14:paraId="60307214" w14:textId="77777777" w:rsidR="00C40D5E" w:rsidRPr="00CE66BE" w:rsidRDefault="00C40D5E" w:rsidP="00162987">
            <w:pPr>
              <w:spacing w:after="0" w:line="240" w:lineRule="auto"/>
              <w:rPr>
                <w:rFonts w:eastAsia="Times New Roman" w:cstheme="minorHAnsi"/>
                <w:color w:val="000000"/>
              </w:rPr>
            </w:pPr>
            <w:proofErr w:type="spellStart"/>
            <w:r w:rsidRPr="00CE66BE">
              <w:rPr>
                <w:rFonts w:eastAsia="Times New Roman" w:cstheme="minorHAnsi"/>
                <w:b/>
                <w:bCs/>
                <w:color w:val="000000"/>
              </w:rPr>
              <w:t>All</w:t>
            </w:r>
            <w:proofErr w:type="spellEnd"/>
            <w:r w:rsidRPr="00CE66BE">
              <w:rPr>
                <w:rFonts w:eastAsia="Times New Roman" w:cstheme="minorHAnsi"/>
                <w:b/>
                <w:bCs/>
                <w:color w:val="000000"/>
              </w:rPr>
              <w:t xml:space="preserve"> </w:t>
            </w:r>
            <w:proofErr w:type="spellStart"/>
            <w:r w:rsidRPr="00CE66BE">
              <w:rPr>
                <w:rFonts w:eastAsia="Times New Roman" w:cstheme="minorHAnsi"/>
                <w:b/>
                <w:bCs/>
                <w:color w:val="000000"/>
              </w:rPr>
              <w:t>anomalies</w:t>
            </w:r>
            <w:proofErr w:type="spellEnd"/>
            <w:r w:rsidRPr="00CE66BE">
              <w:rPr>
                <w:rFonts w:eastAsia="Times New Roman" w:cstheme="minorHAnsi"/>
                <w:b/>
                <w:bCs/>
                <w:color w:val="000000"/>
              </w:rPr>
              <w:t xml:space="preserve"> </w:t>
            </w:r>
            <w:r>
              <w:rPr>
                <w:rFonts w:eastAsia="Times New Roman" w:cstheme="minorHAnsi"/>
                <w:b/>
                <w:bCs/>
                <w:color w:val="000000"/>
              </w:rPr>
              <w:t xml:space="preserve"> </w:t>
            </w:r>
          </w:p>
        </w:tc>
        <w:tc>
          <w:tcPr>
            <w:tcW w:w="1361" w:type="dxa"/>
            <w:tcBorders>
              <w:top w:val="single" w:sz="4" w:space="0" w:color="auto"/>
              <w:bottom w:val="nil"/>
            </w:tcBorders>
            <w:shd w:val="clear" w:color="auto" w:fill="auto"/>
            <w:noWrap/>
            <w:vAlign w:val="bottom"/>
          </w:tcPr>
          <w:p w14:paraId="3D955AA2" w14:textId="77777777" w:rsidR="00C40D5E" w:rsidRPr="00CE66BE" w:rsidRDefault="00C40D5E" w:rsidP="00162987">
            <w:pPr>
              <w:spacing w:after="0" w:line="240" w:lineRule="auto"/>
              <w:jc w:val="center"/>
              <w:rPr>
                <w:rFonts w:eastAsia="Times New Roman" w:cstheme="minorHAnsi"/>
                <w:color w:val="000000"/>
              </w:rPr>
            </w:pPr>
          </w:p>
        </w:tc>
        <w:tc>
          <w:tcPr>
            <w:tcW w:w="1814" w:type="dxa"/>
            <w:tcBorders>
              <w:top w:val="single" w:sz="4" w:space="0" w:color="auto"/>
              <w:bottom w:val="nil"/>
            </w:tcBorders>
            <w:shd w:val="clear" w:color="auto" w:fill="auto"/>
            <w:noWrap/>
            <w:vAlign w:val="bottom"/>
          </w:tcPr>
          <w:p w14:paraId="25C2CBE0" w14:textId="77777777" w:rsidR="00C40D5E" w:rsidRPr="00CE66BE" w:rsidRDefault="00C40D5E" w:rsidP="00162987">
            <w:pPr>
              <w:spacing w:after="0" w:line="240" w:lineRule="auto"/>
              <w:jc w:val="center"/>
              <w:rPr>
                <w:rFonts w:eastAsia="Times New Roman" w:cstheme="minorHAnsi"/>
                <w:color w:val="000000"/>
              </w:rPr>
            </w:pPr>
          </w:p>
        </w:tc>
        <w:tc>
          <w:tcPr>
            <w:tcW w:w="1361" w:type="dxa"/>
            <w:tcBorders>
              <w:top w:val="single" w:sz="4" w:space="0" w:color="auto"/>
              <w:bottom w:val="nil"/>
            </w:tcBorders>
            <w:shd w:val="clear" w:color="auto" w:fill="auto"/>
            <w:noWrap/>
            <w:vAlign w:val="bottom"/>
          </w:tcPr>
          <w:p w14:paraId="3D140DBE" w14:textId="77777777" w:rsidR="00C40D5E" w:rsidRPr="00CE66BE" w:rsidRDefault="00C40D5E" w:rsidP="00162987">
            <w:pPr>
              <w:spacing w:after="0" w:line="240" w:lineRule="auto"/>
              <w:jc w:val="center"/>
              <w:rPr>
                <w:rFonts w:eastAsia="Times New Roman" w:cstheme="minorHAnsi"/>
              </w:rPr>
            </w:pPr>
          </w:p>
        </w:tc>
        <w:tc>
          <w:tcPr>
            <w:tcW w:w="1814" w:type="dxa"/>
            <w:tcBorders>
              <w:top w:val="single" w:sz="4" w:space="0" w:color="auto"/>
              <w:bottom w:val="nil"/>
            </w:tcBorders>
            <w:shd w:val="clear" w:color="auto" w:fill="auto"/>
            <w:noWrap/>
            <w:vAlign w:val="bottom"/>
          </w:tcPr>
          <w:p w14:paraId="456002CC" w14:textId="77777777" w:rsidR="00C40D5E" w:rsidRPr="00CE66BE" w:rsidRDefault="00C40D5E" w:rsidP="00162987">
            <w:pPr>
              <w:spacing w:after="0" w:line="240" w:lineRule="auto"/>
              <w:jc w:val="center"/>
              <w:rPr>
                <w:rFonts w:eastAsia="Times New Roman" w:cstheme="minorHAnsi"/>
                <w:color w:val="000000"/>
              </w:rPr>
            </w:pPr>
          </w:p>
        </w:tc>
      </w:tr>
      <w:tr w:rsidR="00C40D5E" w:rsidRPr="00CE66BE" w14:paraId="07919DD8" w14:textId="77777777" w:rsidTr="00162987">
        <w:trPr>
          <w:trHeight w:val="290"/>
        </w:trPr>
        <w:tc>
          <w:tcPr>
            <w:tcW w:w="2400" w:type="dxa"/>
            <w:tcBorders>
              <w:top w:val="nil"/>
              <w:bottom w:val="nil"/>
            </w:tcBorders>
            <w:shd w:val="clear" w:color="auto" w:fill="auto"/>
            <w:noWrap/>
            <w:vAlign w:val="bottom"/>
          </w:tcPr>
          <w:p w14:paraId="429AF9A0" w14:textId="77777777" w:rsidR="00C40D5E" w:rsidRPr="00CE66BE" w:rsidRDefault="00C40D5E" w:rsidP="00162987">
            <w:pPr>
              <w:spacing w:after="0" w:line="240" w:lineRule="auto"/>
              <w:rPr>
                <w:rFonts w:eastAsia="Times New Roman" w:cstheme="minorHAnsi"/>
                <w:color w:val="000000"/>
              </w:rPr>
            </w:pPr>
            <w:proofErr w:type="spellStart"/>
            <w:r w:rsidRPr="00CE66BE">
              <w:rPr>
                <w:rFonts w:eastAsia="Times New Roman" w:cstheme="minorHAnsi"/>
                <w:color w:val="000000"/>
              </w:rPr>
              <w:t>Belgium</w:t>
            </w:r>
            <w:proofErr w:type="spellEnd"/>
            <w:r w:rsidRPr="00CE66BE">
              <w:rPr>
                <w:rFonts w:eastAsia="Times New Roman" w:cstheme="minorHAnsi"/>
                <w:color w:val="000000"/>
              </w:rPr>
              <w:t>: Antwerp</w:t>
            </w:r>
            <w:r w:rsidRPr="00CE66BE">
              <w:rPr>
                <w:rFonts w:cstheme="minorHAnsi"/>
                <w:sz w:val="20"/>
                <w:szCs w:val="20"/>
                <w:vertAlign w:val="superscript"/>
                <w:lang w:val="en-GB"/>
              </w:rPr>
              <w:t>#</w:t>
            </w:r>
          </w:p>
        </w:tc>
        <w:tc>
          <w:tcPr>
            <w:tcW w:w="1361" w:type="dxa"/>
            <w:tcBorders>
              <w:top w:val="nil"/>
              <w:bottom w:val="nil"/>
            </w:tcBorders>
            <w:shd w:val="clear" w:color="auto" w:fill="auto"/>
            <w:noWrap/>
            <w:vAlign w:val="bottom"/>
          </w:tcPr>
          <w:p w14:paraId="4E673662" w14:textId="77777777" w:rsidR="00C40D5E" w:rsidRPr="00CE66BE" w:rsidRDefault="00C40D5E" w:rsidP="00162987">
            <w:pPr>
              <w:spacing w:after="0" w:line="240" w:lineRule="auto"/>
              <w:jc w:val="center"/>
              <w:rPr>
                <w:rFonts w:eastAsia="Times New Roman" w:cstheme="minorHAnsi"/>
                <w:color w:val="000000"/>
              </w:rPr>
            </w:pPr>
            <w:r w:rsidRPr="00CE66BE">
              <w:rPr>
                <w:rFonts w:eastAsia="Times New Roman" w:cstheme="minorHAnsi"/>
                <w:color w:val="000000"/>
              </w:rPr>
              <w:t>7,853</w:t>
            </w:r>
          </w:p>
        </w:tc>
        <w:tc>
          <w:tcPr>
            <w:tcW w:w="1814" w:type="dxa"/>
            <w:tcBorders>
              <w:top w:val="nil"/>
              <w:bottom w:val="nil"/>
            </w:tcBorders>
            <w:shd w:val="clear" w:color="auto" w:fill="auto"/>
            <w:noWrap/>
            <w:vAlign w:val="bottom"/>
          </w:tcPr>
          <w:p w14:paraId="689E1D79" w14:textId="77777777" w:rsidR="00C40D5E" w:rsidRPr="00CE66BE" w:rsidRDefault="00C40D5E" w:rsidP="00162987">
            <w:pPr>
              <w:spacing w:after="0" w:line="240" w:lineRule="auto"/>
              <w:jc w:val="center"/>
              <w:rPr>
                <w:rFonts w:eastAsia="Times New Roman" w:cstheme="minorHAnsi"/>
                <w:color w:val="000000"/>
              </w:rPr>
            </w:pPr>
            <w:r w:rsidRPr="00CE66BE">
              <w:rPr>
                <w:rFonts w:eastAsia="Times New Roman" w:cstheme="minorHAnsi"/>
                <w:color w:val="000000"/>
              </w:rPr>
              <w:t>0.90</w:t>
            </w:r>
            <w:r>
              <w:rPr>
                <w:rFonts w:eastAsia="Times New Roman" w:cstheme="minorHAnsi"/>
                <w:color w:val="000000"/>
              </w:rPr>
              <w:t xml:space="preserve"> (0.75, </w:t>
            </w:r>
            <w:r w:rsidRPr="00CE66BE">
              <w:rPr>
                <w:rFonts w:eastAsia="Times New Roman" w:cstheme="minorHAnsi"/>
                <w:color w:val="000000"/>
              </w:rPr>
              <w:t>1.07</w:t>
            </w:r>
            <w:r>
              <w:rPr>
                <w:rFonts w:eastAsia="Times New Roman" w:cstheme="minorHAnsi"/>
                <w:color w:val="000000"/>
              </w:rPr>
              <w:t>)</w:t>
            </w:r>
          </w:p>
        </w:tc>
        <w:tc>
          <w:tcPr>
            <w:tcW w:w="1361" w:type="dxa"/>
            <w:tcBorders>
              <w:top w:val="nil"/>
              <w:bottom w:val="nil"/>
            </w:tcBorders>
            <w:shd w:val="clear" w:color="auto" w:fill="auto"/>
            <w:noWrap/>
            <w:vAlign w:val="bottom"/>
          </w:tcPr>
          <w:p w14:paraId="14DD9CED" w14:textId="77777777" w:rsidR="00C40D5E" w:rsidRPr="00CE66BE" w:rsidRDefault="00C40D5E" w:rsidP="00162987">
            <w:pPr>
              <w:spacing w:after="0" w:line="240" w:lineRule="auto"/>
              <w:jc w:val="center"/>
              <w:rPr>
                <w:rFonts w:eastAsia="Times New Roman" w:cstheme="minorHAnsi"/>
                <w:color w:val="000000"/>
              </w:rPr>
            </w:pPr>
            <w:r w:rsidRPr="00CE66BE">
              <w:rPr>
                <w:rFonts w:eastAsia="Times New Roman" w:cstheme="minorHAnsi"/>
              </w:rPr>
              <w:t>NA</w:t>
            </w:r>
          </w:p>
        </w:tc>
        <w:tc>
          <w:tcPr>
            <w:tcW w:w="1814" w:type="dxa"/>
            <w:tcBorders>
              <w:top w:val="nil"/>
              <w:bottom w:val="nil"/>
            </w:tcBorders>
            <w:shd w:val="clear" w:color="auto" w:fill="auto"/>
            <w:noWrap/>
            <w:vAlign w:val="bottom"/>
          </w:tcPr>
          <w:p w14:paraId="14D9EE24" w14:textId="77777777" w:rsidR="00C40D5E" w:rsidRPr="00CE66BE" w:rsidRDefault="00C40D5E" w:rsidP="00162987">
            <w:pPr>
              <w:spacing w:after="0" w:line="240" w:lineRule="auto"/>
              <w:jc w:val="center"/>
              <w:rPr>
                <w:rFonts w:eastAsia="Times New Roman" w:cstheme="minorHAnsi"/>
                <w:color w:val="000000"/>
              </w:rPr>
            </w:pPr>
            <w:r w:rsidRPr="00CE66BE">
              <w:rPr>
                <w:rFonts w:eastAsia="Times New Roman" w:cstheme="minorHAnsi"/>
                <w:color w:val="000000"/>
              </w:rPr>
              <w:t>NA</w:t>
            </w:r>
          </w:p>
        </w:tc>
      </w:tr>
      <w:tr w:rsidR="00C40D5E" w:rsidRPr="00CE66BE" w14:paraId="7C78C3D2" w14:textId="77777777" w:rsidTr="00162987">
        <w:trPr>
          <w:trHeight w:val="290"/>
        </w:trPr>
        <w:tc>
          <w:tcPr>
            <w:tcW w:w="2400" w:type="dxa"/>
            <w:tcBorders>
              <w:top w:val="nil"/>
              <w:bottom w:val="nil"/>
            </w:tcBorders>
            <w:shd w:val="clear" w:color="auto" w:fill="auto"/>
            <w:noWrap/>
            <w:vAlign w:val="bottom"/>
          </w:tcPr>
          <w:p w14:paraId="786114DF" w14:textId="77777777" w:rsidR="00C40D5E" w:rsidRPr="00CE66BE" w:rsidRDefault="00C40D5E" w:rsidP="00162987">
            <w:pPr>
              <w:spacing w:after="0" w:line="240" w:lineRule="auto"/>
              <w:rPr>
                <w:rFonts w:eastAsia="Times New Roman" w:cstheme="minorHAnsi"/>
                <w:color w:val="000000"/>
              </w:rPr>
            </w:pPr>
            <w:proofErr w:type="spellStart"/>
            <w:r w:rsidRPr="00CE66BE">
              <w:rPr>
                <w:rFonts w:eastAsia="Times New Roman" w:cstheme="minorHAnsi"/>
                <w:color w:val="000000"/>
              </w:rPr>
              <w:t>Denmark</w:t>
            </w:r>
            <w:proofErr w:type="spellEnd"/>
            <w:r w:rsidRPr="00CE66BE">
              <w:rPr>
                <w:rFonts w:eastAsia="Times New Roman" w:cstheme="minorHAnsi"/>
                <w:color w:val="000000"/>
              </w:rPr>
              <w:t xml:space="preserve">: </w:t>
            </w:r>
            <w:proofErr w:type="spellStart"/>
            <w:r w:rsidRPr="00CE66BE">
              <w:rPr>
                <w:rFonts w:eastAsia="Times New Roman" w:cstheme="minorHAnsi"/>
                <w:color w:val="000000"/>
              </w:rPr>
              <w:t>Funen</w:t>
            </w:r>
            <w:proofErr w:type="spellEnd"/>
          </w:p>
        </w:tc>
        <w:tc>
          <w:tcPr>
            <w:tcW w:w="1361" w:type="dxa"/>
            <w:tcBorders>
              <w:top w:val="nil"/>
              <w:bottom w:val="nil"/>
            </w:tcBorders>
            <w:shd w:val="clear" w:color="auto" w:fill="auto"/>
            <w:noWrap/>
            <w:vAlign w:val="bottom"/>
          </w:tcPr>
          <w:p w14:paraId="3F6AB210" w14:textId="77777777" w:rsidR="00C40D5E" w:rsidRPr="00CE66BE" w:rsidRDefault="00C40D5E" w:rsidP="00162987">
            <w:pPr>
              <w:spacing w:after="0" w:line="240" w:lineRule="auto"/>
              <w:jc w:val="center"/>
              <w:rPr>
                <w:rFonts w:eastAsia="Times New Roman" w:cstheme="minorHAnsi"/>
                <w:color w:val="000000"/>
              </w:rPr>
            </w:pPr>
            <w:r w:rsidRPr="00CE66BE">
              <w:rPr>
                <w:rFonts w:eastAsia="Times New Roman" w:cstheme="minorHAnsi"/>
                <w:color w:val="000000"/>
              </w:rPr>
              <w:t>2,425</w:t>
            </w:r>
          </w:p>
        </w:tc>
        <w:tc>
          <w:tcPr>
            <w:tcW w:w="1814" w:type="dxa"/>
            <w:tcBorders>
              <w:top w:val="nil"/>
              <w:bottom w:val="nil"/>
            </w:tcBorders>
            <w:shd w:val="clear" w:color="auto" w:fill="auto"/>
            <w:noWrap/>
            <w:vAlign w:val="bottom"/>
          </w:tcPr>
          <w:p w14:paraId="7B3DDDCF" w14:textId="77777777" w:rsidR="00C40D5E" w:rsidRPr="00CE66BE" w:rsidRDefault="00C40D5E" w:rsidP="00162987">
            <w:pPr>
              <w:spacing w:after="0" w:line="240" w:lineRule="auto"/>
              <w:jc w:val="center"/>
              <w:rPr>
                <w:rFonts w:eastAsia="Times New Roman" w:cstheme="minorHAnsi"/>
                <w:color w:val="000000"/>
              </w:rPr>
            </w:pPr>
            <w:r w:rsidRPr="00CE66BE">
              <w:rPr>
                <w:rFonts w:eastAsia="Times New Roman" w:cstheme="minorHAnsi"/>
                <w:color w:val="000000"/>
              </w:rPr>
              <w:t>0.35</w:t>
            </w:r>
            <w:r>
              <w:rPr>
                <w:rFonts w:eastAsia="Times New Roman" w:cstheme="minorHAnsi"/>
                <w:color w:val="000000"/>
              </w:rPr>
              <w:t>(</w:t>
            </w:r>
            <w:r w:rsidRPr="00CE66BE">
              <w:rPr>
                <w:rFonts w:eastAsia="Times New Roman" w:cstheme="minorHAnsi"/>
                <w:color w:val="000000"/>
              </w:rPr>
              <w:t>0.24</w:t>
            </w:r>
            <w:r>
              <w:rPr>
                <w:rFonts w:eastAsia="Times New Roman" w:cstheme="minorHAnsi"/>
                <w:color w:val="000000"/>
              </w:rPr>
              <w:t xml:space="preserve">, </w:t>
            </w:r>
            <w:r w:rsidRPr="00CE66BE">
              <w:rPr>
                <w:rFonts w:eastAsia="Times New Roman" w:cstheme="minorHAnsi"/>
                <w:color w:val="000000"/>
              </w:rPr>
              <w:t>0.52</w:t>
            </w:r>
            <w:r>
              <w:rPr>
                <w:rFonts w:eastAsia="Times New Roman" w:cstheme="minorHAnsi"/>
                <w:color w:val="000000"/>
              </w:rPr>
              <w:t>)</w:t>
            </w:r>
          </w:p>
        </w:tc>
        <w:tc>
          <w:tcPr>
            <w:tcW w:w="1361" w:type="dxa"/>
            <w:tcBorders>
              <w:top w:val="nil"/>
              <w:bottom w:val="nil"/>
            </w:tcBorders>
            <w:shd w:val="clear" w:color="auto" w:fill="auto"/>
            <w:noWrap/>
            <w:vAlign w:val="bottom"/>
          </w:tcPr>
          <w:p w14:paraId="0F7351C7" w14:textId="77777777" w:rsidR="00C40D5E" w:rsidRPr="00CE66BE" w:rsidRDefault="00C40D5E" w:rsidP="00162987">
            <w:pPr>
              <w:spacing w:after="0" w:line="240" w:lineRule="auto"/>
              <w:jc w:val="center"/>
              <w:rPr>
                <w:rFonts w:eastAsia="Times New Roman" w:cstheme="minorHAnsi"/>
              </w:rPr>
            </w:pPr>
            <w:r w:rsidRPr="00CE66BE">
              <w:rPr>
                <w:rFonts w:eastAsia="Times New Roman" w:cstheme="minorHAnsi"/>
              </w:rPr>
              <w:t>2,285</w:t>
            </w:r>
          </w:p>
        </w:tc>
        <w:tc>
          <w:tcPr>
            <w:tcW w:w="1814" w:type="dxa"/>
            <w:tcBorders>
              <w:top w:val="nil"/>
              <w:bottom w:val="nil"/>
            </w:tcBorders>
            <w:shd w:val="clear" w:color="auto" w:fill="auto"/>
            <w:noWrap/>
            <w:vAlign w:val="bottom"/>
          </w:tcPr>
          <w:p w14:paraId="5614F145" w14:textId="77777777" w:rsidR="00C40D5E" w:rsidRPr="00CE66BE" w:rsidRDefault="00C40D5E" w:rsidP="00162987">
            <w:pPr>
              <w:spacing w:after="0" w:line="240" w:lineRule="auto"/>
              <w:jc w:val="center"/>
              <w:rPr>
                <w:rFonts w:eastAsia="Times New Roman" w:cstheme="minorHAnsi"/>
                <w:color w:val="000000"/>
              </w:rPr>
            </w:pPr>
            <w:r w:rsidRPr="00CE66BE">
              <w:rPr>
                <w:rFonts w:eastAsia="Times New Roman" w:cstheme="minorHAnsi"/>
                <w:color w:val="000000"/>
              </w:rPr>
              <w:t>0.36</w:t>
            </w:r>
            <w:r>
              <w:rPr>
                <w:rFonts w:eastAsia="Times New Roman" w:cstheme="minorHAnsi"/>
                <w:color w:val="000000"/>
              </w:rPr>
              <w:t xml:space="preserve"> (0.12, </w:t>
            </w:r>
            <w:r w:rsidRPr="00CE66BE">
              <w:rPr>
                <w:rFonts w:eastAsia="Times New Roman" w:cstheme="minorHAnsi"/>
                <w:color w:val="000000"/>
              </w:rPr>
              <w:t>1.12</w:t>
            </w:r>
            <w:r>
              <w:rPr>
                <w:rFonts w:eastAsia="Times New Roman" w:cstheme="minorHAnsi"/>
                <w:color w:val="000000"/>
              </w:rPr>
              <w:t>)</w:t>
            </w:r>
          </w:p>
        </w:tc>
      </w:tr>
      <w:tr w:rsidR="00C40D5E" w:rsidRPr="00CE66BE" w14:paraId="797A3778" w14:textId="77777777" w:rsidTr="00162987">
        <w:trPr>
          <w:trHeight w:val="290"/>
        </w:trPr>
        <w:tc>
          <w:tcPr>
            <w:tcW w:w="2400" w:type="dxa"/>
            <w:tcBorders>
              <w:top w:val="nil"/>
            </w:tcBorders>
            <w:shd w:val="clear" w:color="auto" w:fill="auto"/>
            <w:noWrap/>
            <w:vAlign w:val="bottom"/>
          </w:tcPr>
          <w:p w14:paraId="3FFD54BD" w14:textId="77777777" w:rsidR="00C40D5E" w:rsidRPr="00CE66BE" w:rsidRDefault="00C40D5E" w:rsidP="00162987">
            <w:pPr>
              <w:spacing w:after="0" w:line="240" w:lineRule="auto"/>
              <w:rPr>
                <w:rFonts w:eastAsia="Times New Roman" w:cstheme="minorHAnsi"/>
                <w:color w:val="000000"/>
              </w:rPr>
            </w:pPr>
            <w:proofErr w:type="spellStart"/>
            <w:r w:rsidRPr="00CE66BE">
              <w:rPr>
                <w:rFonts w:eastAsia="Times New Roman" w:cstheme="minorHAnsi"/>
                <w:color w:val="000000"/>
              </w:rPr>
              <w:t>Finland</w:t>
            </w:r>
            <w:proofErr w:type="spellEnd"/>
          </w:p>
        </w:tc>
        <w:tc>
          <w:tcPr>
            <w:tcW w:w="1361" w:type="dxa"/>
            <w:tcBorders>
              <w:top w:val="nil"/>
            </w:tcBorders>
            <w:shd w:val="clear" w:color="auto" w:fill="auto"/>
            <w:noWrap/>
            <w:vAlign w:val="bottom"/>
          </w:tcPr>
          <w:p w14:paraId="74A89D77" w14:textId="77777777" w:rsidR="00C40D5E" w:rsidRPr="00CE66BE" w:rsidRDefault="00C40D5E" w:rsidP="00162987">
            <w:pPr>
              <w:spacing w:after="0" w:line="240" w:lineRule="auto"/>
              <w:jc w:val="center"/>
              <w:rPr>
                <w:rFonts w:eastAsia="Times New Roman" w:cstheme="minorHAnsi"/>
                <w:color w:val="000000"/>
              </w:rPr>
            </w:pPr>
            <w:r w:rsidRPr="00CE66BE">
              <w:rPr>
                <w:rFonts w:eastAsia="Times New Roman" w:cstheme="minorHAnsi"/>
                <w:color w:val="000000"/>
              </w:rPr>
              <w:t>42,861</w:t>
            </w:r>
          </w:p>
        </w:tc>
        <w:tc>
          <w:tcPr>
            <w:tcW w:w="1814" w:type="dxa"/>
            <w:tcBorders>
              <w:top w:val="nil"/>
            </w:tcBorders>
            <w:shd w:val="clear" w:color="auto" w:fill="auto"/>
            <w:noWrap/>
            <w:vAlign w:val="bottom"/>
          </w:tcPr>
          <w:p w14:paraId="03ADD106" w14:textId="77777777" w:rsidR="00C40D5E" w:rsidRPr="00CE66BE" w:rsidRDefault="00C40D5E" w:rsidP="00162987">
            <w:pPr>
              <w:spacing w:after="0" w:line="240" w:lineRule="auto"/>
              <w:jc w:val="center"/>
              <w:rPr>
                <w:rFonts w:eastAsia="Times New Roman" w:cstheme="minorHAnsi"/>
                <w:color w:val="000000"/>
              </w:rPr>
            </w:pPr>
            <w:r w:rsidRPr="00CE66BE">
              <w:rPr>
                <w:rFonts w:eastAsia="Times New Roman" w:cstheme="minorHAnsi"/>
                <w:color w:val="000000"/>
              </w:rPr>
              <w:t>0.48</w:t>
            </w:r>
            <w:r>
              <w:rPr>
                <w:rFonts w:eastAsia="Times New Roman" w:cstheme="minorHAnsi"/>
                <w:color w:val="000000"/>
              </w:rPr>
              <w:t xml:space="preserve"> (0.43, </w:t>
            </w:r>
            <w:r w:rsidRPr="00CE66BE">
              <w:rPr>
                <w:rFonts w:eastAsia="Times New Roman" w:cstheme="minorHAnsi"/>
                <w:color w:val="000000"/>
              </w:rPr>
              <w:t>0.53</w:t>
            </w:r>
            <w:r>
              <w:rPr>
                <w:rFonts w:eastAsia="Times New Roman" w:cstheme="minorHAnsi"/>
                <w:color w:val="000000"/>
              </w:rPr>
              <w:t>)</w:t>
            </w:r>
          </w:p>
        </w:tc>
        <w:tc>
          <w:tcPr>
            <w:tcW w:w="1361" w:type="dxa"/>
            <w:tcBorders>
              <w:top w:val="nil"/>
            </w:tcBorders>
            <w:shd w:val="clear" w:color="auto" w:fill="auto"/>
            <w:noWrap/>
            <w:vAlign w:val="bottom"/>
          </w:tcPr>
          <w:p w14:paraId="3E389125" w14:textId="77777777" w:rsidR="00C40D5E" w:rsidRPr="00CE66BE" w:rsidRDefault="00C40D5E" w:rsidP="00162987">
            <w:pPr>
              <w:spacing w:after="0" w:line="240" w:lineRule="auto"/>
              <w:jc w:val="center"/>
              <w:rPr>
                <w:rFonts w:eastAsia="Times New Roman" w:cstheme="minorHAnsi"/>
                <w:color w:val="000000"/>
              </w:rPr>
            </w:pPr>
            <w:r w:rsidRPr="00CE66BE">
              <w:rPr>
                <w:rFonts w:eastAsia="Times New Roman" w:cstheme="minorHAnsi"/>
                <w:color w:val="000000"/>
              </w:rPr>
              <w:t>41,333</w:t>
            </w:r>
          </w:p>
        </w:tc>
        <w:tc>
          <w:tcPr>
            <w:tcW w:w="1814" w:type="dxa"/>
            <w:tcBorders>
              <w:top w:val="nil"/>
            </w:tcBorders>
            <w:shd w:val="clear" w:color="auto" w:fill="auto"/>
            <w:noWrap/>
            <w:vAlign w:val="bottom"/>
          </w:tcPr>
          <w:p w14:paraId="1B251A9A" w14:textId="77777777" w:rsidR="00C40D5E" w:rsidRPr="00CE66BE" w:rsidRDefault="00C40D5E" w:rsidP="00162987">
            <w:pPr>
              <w:spacing w:after="0" w:line="240" w:lineRule="auto"/>
              <w:jc w:val="center"/>
              <w:rPr>
                <w:rFonts w:eastAsia="Times New Roman" w:cstheme="minorHAnsi"/>
                <w:color w:val="000000"/>
              </w:rPr>
            </w:pPr>
            <w:r w:rsidRPr="00CE66BE">
              <w:rPr>
                <w:rFonts w:eastAsia="Times New Roman" w:cstheme="minorHAnsi"/>
                <w:color w:val="000000"/>
              </w:rPr>
              <w:t>0.58</w:t>
            </w:r>
            <w:r>
              <w:rPr>
                <w:rFonts w:eastAsia="Times New Roman" w:cstheme="minorHAnsi"/>
                <w:color w:val="000000"/>
              </w:rPr>
              <w:t xml:space="preserve"> (0.45, </w:t>
            </w:r>
            <w:r w:rsidRPr="00CE66BE">
              <w:rPr>
                <w:rFonts w:eastAsia="Times New Roman" w:cstheme="minorHAnsi"/>
                <w:color w:val="000000"/>
              </w:rPr>
              <w:t>0.75</w:t>
            </w:r>
            <w:r>
              <w:rPr>
                <w:rFonts w:eastAsia="Times New Roman" w:cstheme="minorHAnsi"/>
                <w:color w:val="000000"/>
              </w:rPr>
              <w:t>)</w:t>
            </w:r>
          </w:p>
        </w:tc>
      </w:tr>
      <w:tr w:rsidR="00C40D5E" w:rsidRPr="00CE66BE" w14:paraId="3C6ADFC7" w14:textId="77777777" w:rsidTr="00162987">
        <w:trPr>
          <w:trHeight w:val="290"/>
        </w:trPr>
        <w:tc>
          <w:tcPr>
            <w:tcW w:w="2400" w:type="dxa"/>
            <w:shd w:val="clear" w:color="auto" w:fill="auto"/>
            <w:noWrap/>
            <w:vAlign w:val="bottom"/>
          </w:tcPr>
          <w:p w14:paraId="60AEF944" w14:textId="77777777" w:rsidR="00C40D5E" w:rsidRPr="00CE66BE" w:rsidRDefault="00C40D5E" w:rsidP="00162987">
            <w:pPr>
              <w:spacing w:after="0" w:line="240" w:lineRule="auto"/>
              <w:rPr>
                <w:rFonts w:eastAsia="Times New Roman" w:cstheme="minorHAnsi"/>
                <w:color w:val="000000"/>
              </w:rPr>
            </w:pPr>
            <w:r w:rsidRPr="00CE66BE">
              <w:rPr>
                <w:rFonts w:eastAsia="Times New Roman" w:cstheme="minorHAnsi"/>
                <w:color w:val="000000"/>
              </w:rPr>
              <w:t>France: Paris</w:t>
            </w:r>
          </w:p>
        </w:tc>
        <w:tc>
          <w:tcPr>
            <w:tcW w:w="1361" w:type="dxa"/>
            <w:shd w:val="clear" w:color="auto" w:fill="auto"/>
            <w:noWrap/>
            <w:vAlign w:val="bottom"/>
          </w:tcPr>
          <w:p w14:paraId="339D9D84" w14:textId="77777777" w:rsidR="00C40D5E" w:rsidRPr="00CE66BE" w:rsidRDefault="00C40D5E" w:rsidP="00162987">
            <w:pPr>
              <w:spacing w:after="0" w:line="240" w:lineRule="auto"/>
              <w:jc w:val="center"/>
              <w:rPr>
                <w:rFonts w:eastAsia="Times New Roman" w:cstheme="minorHAnsi"/>
                <w:color w:val="000000"/>
              </w:rPr>
            </w:pPr>
            <w:r w:rsidRPr="00CE66BE">
              <w:rPr>
                <w:rFonts w:eastAsia="Times New Roman" w:cstheme="minorHAnsi"/>
                <w:color w:val="000000"/>
              </w:rPr>
              <w:t>11,443</w:t>
            </w:r>
          </w:p>
        </w:tc>
        <w:tc>
          <w:tcPr>
            <w:tcW w:w="1814" w:type="dxa"/>
            <w:shd w:val="clear" w:color="auto" w:fill="auto"/>
            <w:noWrap/>
            <w:vAlign w:val="bottom"/>
          </w:tcPr>
          <w:p w14:paraId="40B09570" w14:textId="77777777" w:rsidR="00C40D5E" w:rsidRPr="00CE66BE" w:rsidRDefault="00C40D5E" w:rsidP="00162987">
            <w:pPr>
              <w:spacing w:after="0" w:line="240" w:lineRule="auto"/>
              <w:jc w:val="center"/>
              <w:rPr>
                <w:rFonts w:eastAsia="Times New Roman" w:cstheme="minorHAnsi"/>
                <w:color w:val="000000"/>
              </w:rPr>
            </w:pPr>
            <w:r w:rsidRPr="00CE66BE">
              <w:rPr>
                <w:rFonts w:eastAsia="Times New Roman" w:cstheme="minorHAnsi"/>
                <w:color w:val="000000"/>
              </w:rPr>
              <w:t>0.76</w:t>
            </w:r>
            <w:r>
              <w:rPr>
                <w:rFonts w:eastAsia="Times New Roman" w:cstheme="minorHAnsi"/>
                <w:color w:val="000000"/>
              </w:rPr>
              <w:t xml:space="preserve"> (0.64, </w:t>
            </w:r>
            <w:r w:rsidRPr="00CE66BE">
              <w:rPr>
                <w:rFonts w:eastAsia="Times New Roman" w:cstheme="minorHAnsi"/>
                <w:color w:val="000000"/>
              </w:rPr>
              <w:t>0.90</w:t>
            </w:r>
            <w:r>
              <w:rPr>
                <w:rFonts w:eastAsia="Times New Roman" w:cstheme="minorHAnsi"/>
                <w:color w:val="000000"/>
              </w:rPr>
              <w:t>)</w:t>
            </w:r>
          </w:p>
        </w:tc>
        <w:tc>
          <w:tcPr>
            <w:tcW w:w="1361" w:type="dxa"/>
            <w:shd w:val="clear" w:color="auto" w:fill="auto"/>
            <w:noWrap/>
            <w:vAlign w:val="bottom"/>
          </w:tcPr>
          <w:p w14:paraId="5161C446" w14:textId="77777777" w:rsidR="00C40D5E" w:rsidRPr="00CE66BE" w:rsidRDefault="00C40D5E" w:rsidP="00162987">
            <w:pPr>
              <w:spacing w:after="0" w:line="240" w:lineRule="auto"/>
              <w:jc w:val="center"/>
              <w:rPr>
                <w:rFonts w:eastAsia="Times New Roman" w:cstheme="minorHAnsi"/>
                <w:color w:val="000000"/>
              </w:rPr>
            </w:pPr>
            <w:r w:rsidRPr="00CE66BE">
              <w:rPr>
                <w:rFonts w:eastAsia="Times New Roman" w:cstheme="minorHAnsi"/>
                <w:color w:val="000000"/>
              </w:rPr>
              <w:t>10,886</w:t>
            </w:r>
          </w:p>
        </w:tc>
        <w:tc>
          <w:tcPr>
            <w:tcW w:w="1814" w:type="dxa"/>
            <w:shd w:val="clear" w:color="auto" w:fill="auto"/>
            <w:noWrap/>
            <w:vAlign w:val="bottom"/>
          </w:tcPr>
          <w:p w14:paraId="2EB3A26C" w14:textId="77777777" w:rsidR="00C40D5E" w:rsidRPr="00CE66BE" w:rsidRDefault="00C40D5E" w:rsidP="00162987">
            <w:pPr>
              <w:spacing w:after="0" w:line="240" w:lineRule="auto"/>
              <w:jc w:val="center"/>
              <w:rPr>
                <w:rFonts w:eastAsia="Times New Roman" w:cstheme="minorHAnsi"/>
                <w:color w:val="000000"/>
              </w:rPr>
            </w:pPr>
            <w:r w:rsidRPr="00CE66BE">
              <w:rPr>
                <w:rFonts w:eastAsia="Times New Roman" w:cstheme="minorHAnsi"/>
                <w:color w:val="000000"/>
              </w:rPr>
              <w:t>0.93</w:t>
            </w:r>
            <w:r>
              <w:rPr>
                <w:rFonts w:eastAsia="Times New Roman" w:cstheme="minorHAnsi"/>
                <w:color w:val="000000"/>
              </w:rPr>
              <w:t xml:space="preserve"> (0.56, </w:t>
            </w:r>
            <w:r w:rsidRPr="00CE66BE">
              <w:rPr>
                <w:rFonts w:eastAsia="Times New Roman" w:cstheme="minorHAnsi"/>
                <w:color w:val="000000"/>
              </w:rPr>
              <w:t>1.56</w:t>
            </w:r>
            <w:r>
              <w:rPr>
                <w:rFonts w:eastAsia="Times New Roman" w:cstheme="minorHAnsi"/>
                <w:color w:val="000000"/>
              </w:rPr>
              <w:t>)</w:t>
            </w:r>
          </w:p>
        </w:tc>
      </w:tr>
      <w:tr w:rsidR="00C40D5E" w:rsidRPr="00CE66BE" w14:paraId="635CFA01" w14:textId="77777777" w:rsidTr="00162987">
        <w:trPr>
          <w:trHeight w:val="290"/>
        </w:trPr>
        <w:tc>
          <w:tcPr>
            <w:tcW w:w="2400" w:type="dxa"/>
            <w:shd w:val="clear" w:color="auto" w:fill="auto"/>
            <w:noWrap/>
            <w:vAlign w:val="bottom"/>
          </w:tcPr>
          <w:p w14:paraId="6B17A743" w14:textId="77777777" w:rsidR="00C40D5E" w:rsidRPr="00CE66BE" w:rsidRDefault="00C40D5E" w:rsidP="00162987">
            <w:pPr>
              <w:spacing w:after="0" w:line="240" w:lineRule="auto"/>
              <w:rPr>
                <w:rFonts w:eastAsia="Times New Roman" w:cstheme="minorHAnsi"/>
                <w:color w:val="000000"/>
              </w:rPr>
            </w:pPr>
            <w:r w:rsidRPr="00CE66BE">
              <w:rPr>
                <w:rFonts w:eastAsia="Times New Roman" w:cstheme="minorHAnsi"/>
                <w:color w:val="000000"/>
              </w:rPr>
              <w:t>Malta</w:t>
            </w:r>
            <w:r w:rsidRPr="00CE66BE">
              <w:rPr>
                <w:rFonts w:cstheme="minorHAnsi"/>
                <w:sz w:val="18"/>
                <w:szCs w:val="18"/>
                <w:lang w:val="en-GB"/>
              </w:rPr>
              <w:t>†</w:t>
            </w:r>
          </w:p>
        </w:tc>
        <w:tc>
          <w:tcPr>
            <w:tcW w:w="1361" w:type="dxa"/>
            <w:shd w:val="clear" w:color="auto" w:fill="auto"/>
            <w:noWrap/>
            <w:vAlign w:val="bottom"/>
          </w:tcPr>
          <w:p w14:paraId="0578AA9B" w14:textId="77777777" w:rsidR="00C40D5E" w:rsidRPr="00CE66BE" w:rsidRDefault="00C40D5E" w:rsidP="00162987">
            <w:pPr>
              <w:spacing w:after="0" w:line="240" w:lineRule="auto"/>
              <w:jc w:val="center"/>
              <w:rPr>
                <w:rFonts w:eastAsia="Times New Roman" w:cstheme="minorHAnsi"/>
                <w:color w:val="000000"/>
              </w:rPr>
            </w:pPr>
            <w:r w:rsidRPr="00CE66BE">
              <w:rPr>
                <w:rFonts w:eastAsia="Times New Roman" w:cstheme="minorHAnsi"/>
                <w:color w:val="000000"/>
              </w:rPr>
              <w:t>2,718</w:t>
            </w:r>
          </w:p>
        </w:tc>
        <w:tc>
          <w:tcPr>
            <w:tcW w:w="1814" w:type="dxa"/>
            <w:shd w:val="clear" w:color="auto" w:fill="auto"/>
            <w:noWrap/>
            <w:vAlign w:val="bottom"/>
          </w:tcPr>
          <w:p w14:paraId="0135BA21" w14:textId="77777777" w:rsidR="00C40D5E" w:rsidRPr="00CE66BE" w:rsidRDefault="00C40D5E" w:rsidP="00162987">
            <w:pPr>
              <w:spacing w:after="0" w:line="240" w:lineRule="auto"/>
              <w:jc w:val="center"/>
              <w:rPr>
                <w:rFonts w:eastAsia="Times New Roman" w:cstheme="minorHAnsi"/>
                <w:color w:val="000000"/>
              </w:rPr>
            </w:pPr>
            <w:r w:rsidRPr="00CE66BE">
              <w:rPr>
                <w:rFonts w:eastAsia="Times New Roman" w:cstheme="minorHAnsi"/>
                <w:color w:val="000000"/>
              </w:rPr>
              <w:t>1.23</w:t>
            </w:r>
            <w:r>
              <w:rPr>
                <w:rFonts w:eastAsia="Times New Roman" w:cstheme="minorHAnsi"/>
                <w:color w:val="000000"/>
              </w:rPr>
              <w:t xml:space="preserve"> (0.94, </w:t>
            </w:r>
            <w:r w:rsidRPr="00CE66BE">
              <w:rPr>
                <w:rFonts w:eastAsia="Times New Roman" w:cstheme="minorHAnsi"/>
                <w:color w:val="000000"/>
              </w:rPr>
              <w:t>1.61</w:t>
            </w:r>
            <w:r>
              <w:rPr>
                <w:rFonts w:eastAsia="Times New Roman" w:cstheme="minorHAnsi"/>
                <w:color w:val="000000"/>
              </w:rPr>
              <w:t>)</w:t>
            </w:r>
          </w:p>
        </w:tc>
        <w:tc>
          <w:tcPr>
            <w:tcW w:w="1361" w:type="dxa"/>
            <w:shd w:val="clear" w:color="auto" w:fill="auto"/>
            <w:noWrap/>
            <w:vAlign w:val="bottom"/>
          </w:tcPr>
          <w:p w14:paraId="053231D9" w14:textId="77777777" w:rsidR="00C40D5E" w:rsidRPr="00CE66BE" w:rsidRDefault="00C40D5E" w:rsidP="00162987">
            <w:pPr>
              <w:spacing w:after="0" w:line="240" w:lineRule="auto"/>
              <w:jc w:val="center"/>
              <w:rPr>
                <w:rFonts w:eastAsia="Times New Roman" w:cstheme="minorHAnsi"/>
                <w:color w:val="000000"/>
              </w:rPr>
            </w:pPr>
            <w:r w:rsidRPr="00CE66BE">
              <w:rPr>
                <w:rFonts w:eastAsia="Times New Roman" w:cstheme="minorHAnsi"/>
                <w:color w:val="000000"/>
              </w:rPr>
              <w:t>2,503</w:t>
            </w:r>
          </w:p>
        </w:tc>
        <w:tc>
          <w:tcPr>
            <w:tcW w:w="1814" w:type="dxa"/>
            <w:shd w:val="clear" w:color="auto" w:fill="auto"/>
            <w:noWrap/>
            <w:vAlign w:val="bottom"/>
          </w:tcPr>
          <w:p w14:paraId="71AF0B9A" w14:textId="77777777" w:rsidR="00C40D5E" w:rsidRPr="00CE66BE" w:rsidRDefault="00C40D5E" w:rsidP="00162987">
            <w:pPr>
              <w:spacing w:after="0" w:line="240" w:lineRule="auto"/>
              <w:jc w:val="center"/>
              <w:rPr>
                <w:rFonts w:eastAsia="Times New Roman" w:cstheme="minorHAnsi"/>
                <w:color w:val="000000"/>
              </w:rPr>
            </w:pPr>
            <w:r w:rsidRPr="00CE66BE">
              <w:rPr>
                <w:rFonts w:eastAsia="Times New Roman" w:cstheme="minorHAnsi"/>
                <w:color w:val="000000"/>
              </w:rPr>
              <w:t>0.65</w:t>
            </w:r>
            <w:r>
              <w:rPr>
                <w:rFonts w:eastAsia="Times New Roman" w:cstheme="minorHAnsi"/>
                <w:color w:val="000000"/>
              </w:rPr>
              <w:t xml:space="preserve"> (0.27, </w:t>
            </w:r>
            <w:r w:rsidRPr="00CE66BE">
              <w:rPr>
                <w:rFonts w:eastAsia="Times New Roman" w:cstheme="minorHAnsi"/>
                <w:color w:val="000000"/>
              </w:rPr>
              <w:t>1.58</w:t>
            </w:r>
            <w:r>
              <w:rPr>
                <w:rFonts w:eastAsia="Times New Roman" w:cstheme="minorHAnsi"/>
                <w:color w:val="000000"/>
              </w:rPr>
              <w:t>)</w:t>
            </w:r>
          </w:p>
        </w:tc>
      </w:tr>
      <w:tr w:rsidR="00C40D5E" w:rsidRPr="00CE66BE" w14:paraId="0AAAAA52" w14:textId="77777777" w:rsidTr="00162987">
        <w:trPr>
          <w:trHeight w:val="290"/>
        </w:trPr>
        <w:tc>
          <w:tcPr>
            <w:tcW w:w="2400" w:type="dxa"/>
            <w:shd w:val="clear" w:color="auto" w:fill="auto"/>
            <w:noWrap/>
            <w:vAlign w:val="bottom"/>
          </w:tcPr>
          <w:p w14:paraId="00EFD7E7" w14:textId="77777777" w:rsidR="00C40D5E" w:rsidRPr="00CE66BE" w:rsidRDefault="00C40D5E" w:rsidP="00162987">
            <w:pPr>
              <w:spacing w:after="0" w:line="240" w:lineRule="auto"/>
              <w:rPr>
                <w:rFonts w:eastAsia="Times New Roman" w:cstheme="minorHAnsi"/>
                <w:color w:val="000000"/>
              </w:rPr>
            </w:pPr>
            <w:r w:rsidRPr="00CE66BE">
              <w:rPr>
                <w:rFonts w:eastAsia="Times New Roman" w:cstheme="minorHAnsi"/>
                <w:color w:val="000000"/>
              </w:rPr>
              <w:t xml:space="preserve">Netherlands: </w:t>
            </w:r>
            <w:proofErr w:type="spellStart"/>
            <w:r w:rsidRPr="00CE66BE">
              <w:rPr>
                <w:rFonts w:eastAsia="Times New Roman" w:cstheme="minorHAnsi"/>
                <w:color w:val="000000"/>
              </w:rPr>
              <w:t>Northern</w:t>
            </w:r>
            <w:proofErr w:type="spellEnd"/>
            <w:r w:rsidRPr="00CE66BE">
              <w:rPr>
                <w:rFonts w:cstheme="minorHAnsi"/>
                <w:sz w:val="20"/>
                <w:szCs w:val="20"/>
                <w:lang w:val="en-GB"/>
              </w:rPr>
              <w:t>°</w:t>
            </w:r>
          </w:p>
        </w:tc>
        <w:tc>
          <w:tcPr>
            <w:tcW w:w="1361" w:type="dxa"/>
            <w:shd w:val="clear" w:color="auto" w:fill="auto"/>
            <w:noWrap/>
            <w:vAlign w:val="bottom"/>
          </w:tcPr>
          <w:p w14:paraId="0C3A5CBD" w14:textId="77777777" w:rsidR="00C40D5E" w:rsidRPr="00CE66BE" w:rsidRDefault="00C40D5E" w:rsidP="00162987">
            <w:pPr>
              <w:spacing w:after="0" w:line="240" w:lineRule="auto"/>
              <w:jc w:val="center"/>
              <w:rPr>
                <w:rFonts w:eastAsia="Times New Roman" w:cstheme="minorHAnsi"/>
                <w:color w:val="000000"/>
              </w:rPr>
            </w:pPr>
            <w:r w:rsidRPr="00CE66BE">
              <w:rPr>
                <w:rFonts w:eastAsia="Times New Roman" w:cstheme="minorHAnsi"/>
                <w:color w:val="000000"/>
              </w:rPr>
              <w:t>8,400</w:t>
            </w:r>
          </w:p>
        </w:tc>
        <w:tc>
          <w:tcPr>
            <w:tcW w:w="1814" w:type="dxa"/>
            <w:shd w:val="clear" w:color="auto" w:fill="auto"/>
            <w:noWrap/>
            <w:vAlign w:val="bottom"/>
          </w:tcPr>
          <w:p w14:paraId="36046B65" w14:textId="77777777" w:rsidR="00C40D5E" w:rsidRPr="00CE66BE" w:rsidRDefault="00C40D5E" w:rsidP="00162987">
            <w:pPr>
              <w:spacing w:after="0" w:line="240" w:lineRule="auto"/>
              <w:jc w:val="center"/>
              <w:rPr>
                <w:rFonts w:eastAsia="Times New Roman" w:cstheme="minorHAnsi"/>
                <w:color w:val="000000"/>
              </w:rPr>
            </w:pPr>
            <w:r w:rsidRPr="00CE66BE">
              <w:rPr>
                <w:rFonts w:eastAsia="Times New Roman" w:cstheme="minorHAnsi"/>
                <w:color w:val="000000"/>
              </w:rPr>
              <w:t>0.53</w:t>
            </w:r>
            <w:r>
              <w:rPr>
                <w:rFonts w:eastAsia="Times New Roman" w:cstheme="minorHAnsi"/>
                <w:color w:val="000000"/>
              </w:rPr>
              <w:t xml:space="preserve"> (0.44, </w:t>
            </w:r>
            <w:r w:rsidRPr="00CE66BE">
              <w:rPr>
                <w:rFonts w:eastAsia="Times New Roman" w:cstheme="minorHAnsi"/>
                <w:color w:val="000000"/>
              </w:rPr>
              <w:t>0.63</w:t>
            </w:r>
            <w:r>
              <w:rPr>
                <w:rFonts w:eastAsia="Times New Roman" w:cstheme="minorHAnsi"/>
                <w:color w:val="000000"/>
              </w:rPr>
              <w:t>)</w:t>
            </w:r>
          </w:p>
        </w:tc>
        <w:tc>
          <w:tcPr>
            <w:tcW w:w="1361" w:type="dxa"/>
            <w:shd w:val="clear" w:color="auto" w:fill="auto"/>
            <w:noWrap/>
            <w:vAlign w:val="bottom"/>
          </w:tcPr>
          <w:p w14:paraId="6298D187" w14:textId="77777777" w:rsidR="00C40D5E" w:rsidRPr="00CE66BE" w:rsidRDefault="00C40D5E" w:rsidP="00162987">
            <w:pPr>
              <w:spacing w:after="0" w:line="240" w:lineRule="auto"/>
              <w:jc w:val="center"/>
              <w:rPr>
                <w:rFonts w:eastAsia="Times New Roman" w:cstheme="minorHAnsi"/>
                <w:color w:val="000000"/>
              </w:rPr>
            </w:pPr>
            <w:r w:rsidRPr="00CE66BE">
              <w:rPr>
                <w:rFonts w:eastAsia="Times New Roman" w:cstheme="minorHAnsi"/>
                <w:color w:val="000000"/>
              </w:rPr>
              <w:t>7,850</w:t>
            </w:r>
          </w:p>
        </w:tc>
        <w:tc>
          <w:tcPr>
            <w:tcW w:w="1814" w:type="dxa"/>
            <w:shd w:val="clear" w:color="auto" w:fill="auto"/>
            <w:noWrap/>
            <w:vAlign w:val="bottom"/>
          </w:tcPr>
          <w:p w14:paraId="1BAB034F" w14:textId="77777777" w:rsidR="00C40D5E" w:rsidRPr="00CE66BE" w:rsidRDefault="00C40D5E" w:rsidP="00162987">
            <w:pPr>
              <w:spacing w:after="0" w:line="240" w:lineRule="auto"/>
              <w:jc w:val="center"/>
              <w:rPr>
                <w:rFonts w:eastAsia="Times New Roman" w:cstheme="minorHAnsi"/>
                <w:color w:val="000000"/>
              </w:rPr>
            </w:pPr>
            <w:r w:rsidRPr="00CE66BE">
              <w:rPr>
                <w:rFonts w:eastAsia="Times New Roman" w:cstheme="minorHAnsi"/>
                <w:color w:val="000000"/>
              </w:rPr>
              <w:t>1.08</w:t>
            </w:r>
            <w:r>
              <w:rPr>
                <w:rFonts w:eastAsia="Times New Roman" w:cstheme="minorHAnsi"/>
                <w:color w:val="000000"/>
              </w:rPr>
              <w:t xml:space="preserve"> (</w:t>
            </w:r>
            <w:r w:rsidRPr="00CE66BE">
              <w:rPr>
                <w:rFonts w:eastAsia="Times New Roman" w:cstheme="minorHAnsi"/>
                <w:color w:val="000000"/>
              </w:rPr>
              <w:t>0.69</w:t>
            </w:r>
            <w:r>
              <w:rPr>
                <w:rFonts w:eastAsia="Times New Roman" w:cstheme="minorHAnsi"/>
                <w:color w:val="000000"/>
              </w:rPr>
              <w:t xml:space="preserve">, </w:t>
            </w:r>
            <w:r w:rsidRPr="00CE66BE">
              <w:rPr>
                <w:rFonts w:eastAsia="Times New Roman" w:cstheme="minorHAnsi"/>
                <w:color w:val="000000"/>
              </w:rPr>
              <w:t>1.69</w:t>
            </w:r>
            <w:r>
              <w:rPr>
                <w:rFonts w:eastAsia="Times New Roman" w:cstheme="minorHAnsi"/>
                <w:color w:val="000000"/>
              </w:rPr>
              <w:t>)</w:t>
            </w:r>
          </w:p>
        </w:tc>
      </w:tr>
      <w:tr w:rsidR="00C40D5E" w:rsidRPr="00CE66BE" w14:paraId="19B5E87D" w14:textId="77777777" w:rsidTr="00162987">
        <w:trPr>
          <w:trHeight w:val="290"/>
        </w:trPr>
        <w:tc>
          <w:tcPr>
            <w:tcW w:w="2400" w:type="dxa"/>
            <w:shd w:val="clear" w:color="auto" w:fill="auto"/>
            <w:noWrap/>
            <w:vAlign w:val="bottom"/>
          </w:tcPr>
          <w:p w14:paraId="5054BD3E" w14:textId="77777777" w:rsidR="00C40D5E" w:rsidRPr="00CE66BE" w:rsidRDefault="00C40D5E" w:rsidP="00162987">
            <w:pPr>
              <w:spacing w:after="0" w:line="240" w:lineRule="auto"/>
              <w:rPr>
                <w:rFonts w:eastAsia="Times New Roman" w:cstheme="minorHAnsi"/>
                <w:color w:val="000000"/>
              </w:rPr>
            </w:pPr>
            <w:proofErr w:type="spellStart"/>
            <w:r w:rsidRPr="00CE66BE">
              <w:rPr>
                <w:rFonts w:eastAsia="Times New Roman" w:cstheme="minorHAnsi"/>
                <w:color w:val="000000"/>
              </w:rPr>
              <w:t>Norway</w:t>
            </w:r>
            <w:proofErr w:type="spellEnd"/>
            <w:r w:rsidRPr="00CE66BE">
              <w:rPr>
                <w:rFonts w:eastAsia="Times New Roman" w:cstheme="minorHAnsi"/>
                <w:color w:val="000000"/>
                <w:vertAlign w:val="superscript"/>
              </w:rPr>
              <w:t>§</w:t>
            </w:r>
          </w:p>
        </w:tc>
        <w:tc>
          <w:tcPr>
            <w:tcW w:w="1361" w:type="dxa"/>
            <w:shd w:val="clear" w:color="auto" w:fill="auto"/>
            <w:noWrap/>
            <w:vAlign w:val="bottom"/>
          </w:tcPr>
          <w:p w14:paraId="5DECC8DE" w14:textId="77777777" w:rsidR="00C40D5E" w:rsidRPr="00CE66BE" w:rsidRDefault="00C40D5E" w:rsidP="00162987">
            <w:pPr>
              <w:spacing w:after="0" w:line="240" w:lineRule="auto"/>
              <w:jc w:val="center"/>
              <w:rPr>
                <w:rFonts w:eastAsia="Times New Roman" w:cstheme="minorHAnsi"/>
                <w:color w:val="000000"/>
              </w:rPr>
            </w:pPr>
            <w:r w:rsidRPr="00CE66BE">
              <w:rPr>
                <w:rFonts w:eastAsia="Times New Roman" w:cstheme="minorHAnsi"/>
                <w:color w:val="000000"/>
              </w:rPr>
              <w:t>27,201</w:t>
            </w:r>
          </w:p>
        </w:tc>
        <w:tc>
          <w:tcPr>
            <w:tcW w:w="1814" w:type="dxa"/>
            <w:shd w:val="clear" w:color="auto" w:fill="auto"/>
            <w:noWrap/>
            <w:vAlign w:val="bottom"/>
          </w:tcPr>
          <w:p w14:paraId="5FE2C237" w14:textId="77777777" w:rsidR="00C40D5E" w:rsidRPr="00CE66BE" w:rsidRDefault="00C40D5E" w:rsidP="00162987">
            <w:pPr>
              <w:spacing w:after="0" w:line="240" w:lineRule="auto"/>
              <w:jc w:val="center"/>
              <w:rPr>
                <w:rFonts w:eastAsia="Times New Roman" w:cstheme="minorHAnsi"/>
                <w:color w:val="000000"/>
              </w:rPr>
            </w:pPr>
            <w:r w:rsidRPr="00CE66BE">
              <w:rPr>
                <w:rFonts w:eastAsia="Times New Roman" w:cstheme="minorHAnsi"/>
                <w:color w:val="000000"/>
              </w:rPr>
              <w:t>1.03</w:t>
            </w:r>
            <w:r>
              <w:rPr>
                <w:rFonts w:eastAsia="Times New Roman" w:cstheme="minorHAnsi"/>
                <w:color w:val="000000"/>
              </w:rPr>
              <w:t xml:space="preserve"> (0.90, </w:t>
            </w:r>
            <w:r w:rsidRPr="00CE66BE">
              <w:rPr>
                <w:rFonts w:eastAsia="Times New Roman" w:cstheme="minorHAnsi"/>
                <w:color w:val="000000"/>
              </w:rPr>
              <w:t>1.18</w:t>
            </w:r>
            <w:r>
              <w:rPr>
                <w:rFonts w:eastAsia="Times New Roman" w:cstheme="minorHAnsi"/>
                <w:color w:val="000000"/>
              </w:rPr>
              <w:t>)</w:t>
            </w:r>
          </w:p>
        </w:tc>
        <w:tc>
          <w:tcPr>
            <w:tcW w:w="1361" w:type="dxa"/>
            <w:shd w:val="clear" w:color="auto" w:fill="auto"/>
            <w:noWrap/>
            <w:vAlign w:val="bottom"/>
          </w:tcPr>
          <w:p w14:paraId="1941A275" w14:textId="77777777" w:rsidR="00C40D5E" w:rsidRPr="00CE66BE" w:rsidRDefault="00C40D5E" w:rsidP="00162987">
            <w:pPr>
              <w:spacing w:after="0" w:line="240" w:lineRule="auto"/>
              <w:jc w:val="center"/>
              <w:rPr>
                <w:rFonts w:eastAsia="Times New Roman" w:cstheme="minorHAnsi"/>
                <w:color w:val="000000"/>
              </w:rPr>
            </w:pPr>
            <w:r w:rsidRPr="00CE66BE">
              <w:rPr>
                <w:rFonts w:eastAsia="Times New Roman" w:cstheme="minorHAnsi"/>
                <w:color w:val="000000"/>
              </w:rPr>
              <w:t>26,237</w:t>
            </w:r>
          </w:p>
        </w:tc>
        <w:tc>
          <w:tcPr>
            <w:tcW w:w="1814" w:type="dxa"/>
            <w:shd w:val="clear" w:color="auto" w:fill="auto"/>
            <w:noWrap/>
            <w:vAlign w:val="bottom"/>
          </w:tcPr>
          <w:p w14:paraId="06021A41" w14:textId="77777777" w:rsidR="00C40D5E" w:rsidRPr="00CE66BE" w:rsidRDefault="00C40D5E" w:rsidP="00162987">
            <w:pPr>
              <w:spacing w:after="0" w:line="240" w:lineRule="auto"/>
              <w:jc w:val="center"/>
              <w:rPr>
                <w:rFonts w:eastAsia="Times New Roman" w:cstheme="minorHAnsi"/>
                <w:color w:val="000000"/>
              </w:rPr>
            </w:pPr>
            <w:r w:rsidRPr="00CE66BE">
              <w:rPr>
                <w:rFonts w:eastAsia="Times New Roman" w:cstheme="minorHAnsi"/>
                <w:color w:val="000000"/>
              </w:rPr>
              <w:t>0.87</w:t>
            </w:r>
            <w:r>
              <w:rPr>
                <w:rFonts w:eastAsia="Times New Roman" w:cstheme="minorHAnsi"/>
                <w:color w:val="000000"/>
              </w:rPr>
              <w:t xml:space="preserve"> (</w:t>
            </w:r>
            <w:r w:rsidRPr="00CE66BE">
              <w:rPr>
                <w:rFonts w:eastAsia="Times New Roman" w:cstheme="minorHAnsi"/>
                <w:color w:val="000000"/>
              </w:rPr>
              <w:t>0.63</w:t>
            </w:r>
            <w:r>
              <w:rPr>
                <w:rFonts w:eastAsia="Times New Roman" w:cstheme="minorHAnsi"/>
                <w:color w:val="000000"/>
              </w:rPr>
              <w:t xml:space="preserve">, </w:t>
            </w:r>
            <w:r w:rsidRPr="00CE66BE">
              <w:rPr>
                <w:rFonts w:eastAsia="Times New Roman" w:cstheme="minorHAnsi"/>
                <w:color w:val="000000"/>
              </w:rPr>
              <w:t>1.20</w:t>
            </w:r>
            <w:r>
              <w:rPr>
                <w:rFonts w:eastAsia="Times New Roman" w:cstheme="minorHAnsi"/>
                <w:color w:val="000000"/>
              </w:rPr>
              <w:t>)</w:t>
            </w:r>
          </w:p>
        </w:tc>
      </w:tr>
      <w:tr w:rsidR="00C40D5E" w:rsidRPr="00CE66BE" w14:paraId="672E40D0" w14:textId="77777777" w:rsidTr="00162987">
        <w:trPr>
          <w:trHeight w:val="290"/>
        </w:trPr>
        <w:tc>
          <w:tcPr>
            <w:tcW w:w="2400" w:type="dxa"/>
            <w:tcBorders>
              <w:bottom w:val="nil"/>
            </w:tcBorders>
            <w:shd w:val="clear" w:color="auto" w:fill="auto"/>
            <w:noWrap/>
            <w:vAlign w:val="bottom"/>
          </w:tcPr>
          <w:p w14:paraId="72A4B1B7" w14:textId="77777777" w:rsidR="00C40D5E" w:rsidRPr="00CE66BE" w:rsidRDefault="00C40D5E" w:rsidP="00162987">
            <w:pPr>
              <w:spacing w:after="0" w:line="240" w:lineRule="auto"/>
              <w:rPr>
                <w:rFonts w:eastAsia="Times New Roman" w:cstheme="minorHAnsi"/>
                <w:color w:val="000000"/>
              </w:rPr>
            </w:pPr>
            <w:proofErr w:type="spellStart"/>
            <w:r w:rsidRPr="00CE66BE">
              <w:rPr>
                <w:rFonts w:eastAsia="Times New Roman" w:cstheme="minorHAnsi"/>
                <w:color w:val="000000"/>
              </w:rPr>
              <w:t>Spain</w:t>
            </w:r>
            <w:proofErr w:type="spellEnd"/>
            <w:r w:rsidRPr="00CE66BE">
              <w:rPr>
                <w:rFonts w:eastAsia="Times New Roman" w:cstheme="minorHAnsi"/>
                <w:color w:val="000000"/>
              </w:rPr>
              <w:t xml:space="preserve">: </w:t>
            </w:r>
            <w:proofErr w:type="spellStart"/>
            <w:r w:rsidRPr="00CE66BE">
              <w:rPr>
                <w:rFonts w:eastAsia="Times New Roman" w:cstheme="minorHAnsi"/>
                <w:color w:val="000000"/>
              </w:rPr>
              <w:t>Basque</w:t>
            </w:r>
            <w:proofErr w:type="spellEnd"/>
            <w:r w:rsidRPr="00CE66BE">
              <w:rPr>
                <w:rFonts w:eastAsia="Times New Roman" w:cstheme="minorHAnsi"/>
                <w:color w:val="000000"/>
              </w:rPr>
              <w:t xml:space="preserve"> Country</w:t>
            </w:r>
          </w:p>
        </w:tc>
        <w:tc>
          <w:tcPr>
            <w:tcW w:w="1361" w:type="dxa"/>
            <w:tcBorders>
              <w:bottom w:val="nil"/>
            </w:tcBorders>
            <w:shd w:val="clear" w:color="auto" w:fill="auto"/>
            <w:noWrap/>
            <w:vAlign w:val="bottom"/>
          </w:tcPr>
          <w:p w14:paraId="33429D10" w14:textId="77777777" w:rsidR="00C40D5E" w:rsidRPr="00CE66BE" w:rsidRDefault="00C40D5E" w:rsidP="00162987">
            <w:pPr>
              <w:spacing w:after="0" w:line="240" w:lineRule="auto"/>
              <w:jc w:val="center"/>
              <w:rPr>
                <w:rFonts w:eastAsia="Times New Roman" w:cstheme="minorHAnsi"/>
                <w:color w:val="000000"/>
              </w:rPr>
            </w:pPr>
            <w:r w:rsidRPr="00CE66BE">
              <w:rPr>
                <w:rFonts w:eastAsia="Times New Roman" w:cstheme="minorHAnsi"/>
                <w:color w:val="000000"/>
              </w:rPr>
              <w:t>5,904</w:t>
            </w:r>
          </w:p>
        </w:tc>
        <w:tc>
          <w:tcPr>
            <w:tcW w:w="1814" w:type="dxa"/>
            <w:tcBorders>
              <w:bottom w:val="nil"/>
            </w:tcBorders>
            <w:shd w:val="clear" w:color="auto" w:fill="auto"/>
            <w:noWrap/>
            <w:vAlign w:val="bottom"/>
          </w:tcPr>
          <w:p w14:paraId="1D9031BA" w14:textId="77777777" w:rsidR="00C40D5E" w:rsidRPr="00CE66BE" w:rsidRDefault="00C40D5E" w:rsidP="00162987">
            <w:pPr>
              <w:spacing w:after="0" w:line="240" w:lineRule="auto"/>
              <w:jc w:val="center"/>
              <w:rPr>
                <w:rFonts w:eastAsia="Times New Roman" w:cstheme="minorHAnsi"/>
                <w:color w:val="000000"/>
              </w:rPr>
            </w:pPr>
            <w:r w:rsidRPr="00CE66BE">
              <w:rPr>
                <w:rFonts w:eastAsia="Times New Roman" w:cstheme="minorHAnsi"/>
                <w:color w:val="000000"/>
              </w:rPr>
              <w:t>0.42</w:t>
            </w:r>
            <w:r>
              <w:rPr>
                <w:rFonts w:eastAsia="Times New Roman" w:cstheme="minorHAnsi"/>
                <w:color w:val="000000"/>
              </w:rPr>
              <w:t xml:space="preserve"> (</w:t>
            </w:r>
            <w:r w:rsidRPr="00CE66BE">
              <w:rPr>
                <w:rFonts w:eastAsia="Times New Roman" w:cstheme="minorHAnsi"/>
                <w:color w:val="000000"/>
              </w:rPr>
              <w:t>0.34</w:t>
            </w:r>
            <w:r>
              <w:rPr>
                <w:rFonts w:eastAsia="Times New Roman" w:cstheme="minorHAnsi"/>
                <w:color w:val="000000"/>
              </w:rPr>
              <w:t xml:space="preserve">, </w:t>
            </w:r>
            <w:r w:rsidRPr="00CE66BE">
              <w:rPr>
                <w:rFonts w:eastAsia="Times New Roman" w:cstheme="minorHAnsi"/>
                <w:color w:val="000000"/>
              </w:rPr>
              <w:t>0.52</w:t>
            </w:r>
          </w:p>
        </w:tc>
        <w:tc>
          <w:tcPr>
            <w:tcW w:w="1361" w:type="dxa"/>
            <w:tcBorders>
              <w:bottom w:val="nil"/>
            </w:tcBorders>
            <w:shd w:val="clear" w:color="auto" w:fill="auto"/>
            <w:noWrap/>
            <w:vAlign w:val="bottom"/>
          </w:tcPr>
          <w:p w14:paraId="3FD067EA" w14:textId="77777777" w:rsidR="00C40D5E" w:rsidRPr="00CE66BE" w:rsidRDefault="00C40D5E" w:rsidP="00162987">
            <w:pPr>
              <w:spacing w:after="0" w:line="240" w:lineRule="auto"/>
              <w:jc w:val="center"/>
              <w:rPr>
                <w:rFonts w:eastAsia="Times New Roman" w:cstheme="minorHAnsi"/>
                <w:color w:val="000000"/>
              </w:rPr>
            </w:pPr>
            <w:r w:rsidRPr="00CE66BE">
              <w:rPr>
                <w:rFonts w:eastAsia="Times New Roman" w:cstheme="minorHAnsi"/>
                <w:color w:val="000000"/>
              </w:rPr>
              <w:t>5,540</w:t>
            </w:r>
          </w:p>
        </w:tc>
        <w:tc>
          <w:tcPr>
            <w:tcW w:w="1814" w:type="dxa"/>
            <w:tcBorders>
              <w:bottom w:val="nil"/>
            </w:tcBorders>
            <w:shd w:val="clear" w:color="auto" w:fill="auto"/>
            <w:noWrap/>
            <w:vAlign w:val="bottom"/>
          </w:tcPr>
          <w:p w14:paraId="392F5074" w14:textId="77777777" w:rsidR="00C40D5E" w:rsidRPr="00CE66BE" w:rsidRDefault="00C40D5E" w:rsidP="00162987">
            <w:pPr>
              <w:spacing w:after="0" w:line="240" w:lineRule="auto"/>
              <w:jc w:val="center"/>
              <w:rPr>
                <w:rFonts w:eastAsia="Times New Roman" w:cstheme="minorHAnsi"/>
                <w:color w:val="000000"/>
              </w:rPr>
            </w:pPr>
            <w:r w:rsidRPr="00CE66BE">
              <w:rPr>
                <w:rFonts w:eastAsia="Times New Roman" w:cstheme="minorHAnsi"/>
                <w:color w:val="000000"/>
              </w:rPr>
              <w:t>0.60</w:t>
            </w:r>
            <w:r>
              <w:rPr>
                <w:rFonts w:eastAsia="Times New Roman" w:cstheme="minorHAnsi"/>
                <w:color w:val="000000"/>
              </w:rPr>
              <w:t xml:space="preserve"> (0.34, </w:t>
            </w:r>
            <w:r w:rsidRPr="00CE66BE">
              <w:rPr>
                <w:rFonts w:eastAsia="Times New Roman" w:cstheme="minorHAnsi"/>
                <w:color w:val="000000"/>
              </w:rPr>
              <w:t>1.07</w:t>
            </w:r>
            <w:r>
              <w:rPr>
                <w:rFonts w:eastAsia="Times New Roman" w:cstheme="minorHAnsi"/>
                <w:color w:val="000000"/>
              </w:rPr>
              <w:t>)</w:t>
            </w:r>
          </w:p>
        </w:tc>
      </w:tr>
      <w:tr w:rsidR="00C40D5E" w:rsidRPr="00CE66BE" w14:paraId="25B0D682" w14:textId="77777777" w:rsidTr="00162987">
        <w:trPr>
          <w:trHeight w:val="290"/>
        </w:trPr>
        <w:tc>
          <w:tcPr>
            <w:tcW w:w="2400" w:type="dxa"/>
            <w:tcBorders>
              <w:top w:val="nil"/>
              <w:bottom w:val="nil"/>
            </w:tcBorders>
            <w:shd w:val="clear" w:color="auto" w:fill="auto"/>
            <w:noWrap/>
            <w:vAlign w:val="bottom"/>
          </w:tcPr>
          <w:p w14:paraId="7479611F" w14:textId="77777777" w:rsidR="00C40D5E" w:rsidRPr="00CE66BE" w:rsidRDefault="00C40D5E" w:rsidP="00162987">
            <w:pPr>
              <w:spacing w:after="0" w:line="240" w:lineRule="auto"/>
              <w:rPr>
                <w:rFonts w:eastAsia="Times New Roman" w:cstheme="minorHAnsi"/>
                <w:color w:val="000000"/>
              </w:rPr>
            </w:pPr>
            <w:r w:rsidRPr="00CE66BE">
              <w:rPr>
                <w:rFonts w:eastAsia="Times New Roman" w:cstheme="minorHAnsi"/>
                <w:color w:val="000000"/>
              </w:rPr>
              <w:t>UK: Wales</w:t>
            </w:r>
          </w:p>
        </w:tc>
        <w:tc>
          <w:tcPr>
            <w:tcW w:w="1361" w:type="dxa"/>
            <w:tcBorders>
              <w:top w:val="nil"/>
              <w:bottom w:val="nil"/>
            </w:tcBorders>
            <w:shd w:val="clear" w:color="auto" w:fill="auto"/>
            <w:noWrap/>
            <w:vAlign w:val="bottom"/>
          </w:tcPr>
          <w:p w14:paraId="6F8FE23D" w14:textId="77777777" w:rsidR="00C40D5E" w:rsidRPr="00CE66BE" w:rsidRDefault="00C40D5E" w:rsidP="00162987">
            <w:pPr>
              <w:spacing w:after="0" w:line="240" w:lineRule="auto"/>
              <w:jc w:val="center"/>
              <w:rPr>
                <w:rFonts w:eastAsia="Times New Roman" w:cstheme="minorHAnsi"/>
                <w:color w:val="000000"/>
              </w:rPr>
            </w:pPr>
            <w:r w:rsidRPr="00CE66BE">
              <w:rPr>
                <w:rFonts w:eastAsia="Times New Roman" w:cstheme="minorHAnsi"/>
                <w:color w:val="000000"/>
              </w:rPr>
              <w:t>18,177</w:t>
            </w:r>
          </w:p>
        </w:tc>
        <w:tc>
          <w:tcPr>
            <w:tcW w:w="1814" w:type="dxa"/>
            <w:tcBorders>
              <w:top w:val="nil"/>
              <w:bottom w:val="nil"/>
            </w:tcBorders>
            <w:shd w:val="clear" w:color="auto" w:fill="auto"/>
            <w:noWrap/>
            <w:vAlign w:val="bottom"/>
          </w:tcPr>
          <w:p w14:paraId="7DE72149" w14:textId="77777777" w:rsidR="00C40D5E" w:rsidRPr="00CE66BE" w:rsidRDefault="00C40D5E" w:rsidP="00162987">
            <w:pPr>
              <w:spacing w:after="0" w:line="240" w:lineRule="auto"/>
              <w:jc w:val="center"/>
              <w:rPr>
                <w:rFonts w:eastAsia="Times New Roman" w:cstheme="minorHAnsi"/>
                <w:color w:val="000000"/>
              </w:rPr>
            </w:pPr>
            <w:r w:rsidRPr="00CE66BE">
              <w:rPr>
                <w:rFonts w:eastAsia="Times New Roman" w:cstheme="minorHAnsi"/>
                <w:color w:val="000000"/>
              </w:rPr>
              <w:t>0.92</w:t>
            </w:r>
            <w:r>
              <w:rPr>
                <w:rFonts w:eastAsia="Times New Roman" w:cstheme="minorHAnsi"/>
                <w:color w:val="000000"/>
              </w:rPr>
              <w:t xml:space="preserve"> (0.79, </w:t>
            </w:r>
            <w:r w:rsidRPr="00CE66BE">
              <w:rPr>
                <w:rFonts w:eastAsia="Times New Roman" w:cstheme="minorHAnsi"/>
                <w:color w:val="000000"/>
              </w:rPr>
              <w:t>1.07</w:t>
            </w:r>
            <w:r>
              <w:rPr>
                <w:rFonts w:eastAsia="Times New Roman" w:cstheme="minorHAnsi"/>
                <w:color w:val="000000"/>
              </w:rPr>
              <w:t>)</w:t>
            </w:r>
          </w:p>
        </w:tc>
        <w:tc>
          <w:tcPr>
            <w:tcW w:w="1361" w:type="dxa"/>
            <w:tcBorders>
              <w:top w:val="nil"/>
              <w:bottom w:val="nil"/>
            </w:tcBorders>
            <w:shd w:val="clear" w:color="auto" w:fill="auto"/>
            <w:noWrap/>
            <w:vAlign w:val="bottom"/>
          </w:tcPr>
          <w:p w14:paraId="26F4F9B6" w14:textId="77777777" w:rsidR="00C40D5E" w:rsidRPr="00CE66BE" w:rsidRDefault="00C40D5E" w:rsidP="00162987">
            <w:pPr>
              <w:spacing w:after="0" w:line="240" w:lineRule="auto"/>
              <w:jc w:val="center"/>
              <w:rPr>
                <w:rFonts w:eastAsia="Times New Roman" w:cstheme="minorHAnsi"/>
                <w:color w:val="000000"/>
              </w:rPr>
            </w:pPr>
            <w:r w:rsidRPr="00CE66BE">
              <w:rPr>
                <w:rFonts w:eastAsia="Times New Roman" w:cstheme="minorHAnsi"/>
                <w:color w:val="000000"/>
              </w:rPr>
              <w:t>17,068</w:t>
            </w:r>
          </w:p>
        </w:tc>
        <w:tc>
          <w:tcPr>
            <w:tcW w:w="1814" w:type="dxa"/>
            <w:tcBorders>
              <w:top w:val="nil"/>
              <w:bottom w:val="nil"/>
            </w:tcBorders>
            <w:shd w:val="clear" w:color="auto" w:fill="auto"/>
            <w:noWrap/>
            <w:vAlign w:val="bottom"/>
          </w:tcPr>
          <w:p w14:paraId="1F1C8F44" w14:textId="77777777" w:rsidR="00C40D5E" w:rsidRPr="00CE66BE" w:rsidRDefault="00C40D5E" w:rsidP="00162987">
            <w:pPr>
              <w:spacing w:after="0" w:line="240" w:lineRule="auto"/>
              <w:jc w:val="center"/>
              <w:rPr>
                <w:rFonts w:eastAsia="Times New Roman" w:cstheme="minorHAnsi"/>
                <w:color w:val="000000"/>
              </w:rPr>
            </w:pPr>
            <w:r w:rsidRPr="00CE66BE">
              <w:rPr>
                <w:rFonts w:eastAsia="Times New Roman" w:cstheme="minorHAnsi"/>
                <w:color w:val="000000"/>
              </w:rPr>
              <w:t>0.78</w:t>
            </w:r>
            <w:r>
              <w:rPr>
                <w:rFonts w:eastAsia="Times New Roman" w:cstheme="minorHAnsi"/>
                <w:color w:val="000000"/>
              </w:rPr>
              <w:t xml:space="preserve"> (</w:t>
            </w:r>
            <w:r w:rsidRPr="00CE66BE">
              <w:rPr>
                <w:rFonts w:eastAsia="Times New Roman" w:cstheme="minorHAnsi"/>
                <w:color w:val="000000"/>
              </w:rPr>
              <w:t>0.56</w:t>
            </w:r>
            <w:r>
              <w:rPr>
                <w:rFonts w:eastAsia="Times New Roman" w:cstheme="minorHAnsi"/>
                <w:color w:val="000000"/>
              </w:rPr>
              <w:t xml:space="preserve">, </w:t>
            </w:r>
            <w:r w:rsidRPr="00CE66BE">
              <w:rPr>
                <w:rFonts w:eastAsia="Times New Roman" w:cstheme="minorHAnsi"/>
                <w:color w:val="000000"/>
              </w:rPr>
              <w:t>1.08</w:t>
            </w:r>
            <w:r>
              <w:rPr>
                <w:rFonts w:eastAsia="Times New Roman" w:cstheme="minorHAnsi"/>
                <w:color w:val="000000"/>
              </w:rPr>
              <w:t>)</w:t>
            </w:r>
          </w:p>
        </w:tc>
      </w:tr>
      <w:tr w:rsidR="00C40D5E" w:rsidRPr="00CE66BE" w14:paraId="2818AA59" w14:textId="77777777" w:rsidTr="00162987">
        <w:trPr>
          <w:trHeight w:val="290"/>
        </w:trPr>
        <w:tc>
          <w:tcPr>
            <w:tcW w:w="2400" w:type="dxa"/>
            <w:tcBorders>
              <w:top w:val="nil"/>
              <w:bottom w:val="nil"/>
            </w:tcBorders>
            <w:shd w:val="clear" w:color="auto" w:fill="auto"/>
            <w:noWrap/>
            <w:vAlign w:val="bottom"/>
          </w:tcPr>
          <w:p w14:paraId="0C21F28D" w14:textId="77777777" w:rsidR="00C40D5E" w:rsidRPr="0005255B" w:rsidRDefault="00C40D5E" w:rsidP="00162987">
            <w:pPr>
              <w:spacing w:before="120" w:after="0" w:line="240" w:lineRule="auto"/>
              <w:rPr>
                <w:rFonts w:eastAsia="Times New Roman" w:cstheme="minorHAnsi"/>
                <w:color w:val="000000"/>
              </w:rPr>
            </w:pPr>
            <w:r w:rsidRPr="0005255B">
              <w:rPr>
                <w:rFonts w:eastAsia="Times New Roman" w:cstheme="minorHAnsi"/>
                <w:color w:val="000000"/>
              </w:rPr>
              <w:t>Total</w:t>
            </w:r>
          </w:p>
        </w:tc>
        <w:tc>
          <w:tcPr>
            <w:tcW w:w="1361" w:type="dxa"/>
            <w:tcBorders>
              <w:top w:val="nil"/>
              <w:bottom w:val="nil"/>
            </w:tcBorders>
            <w:shd w:val="clear" w:color="auto" w:fill="auto"/>
            <w:noWrap/>
            <w:vAlign w:val="bottom"/>
          </w:tcPr>
          <w:p w14:paraId="0D62BCFA" w14:textId="77777777" w:rsidR="00C40D5E" w:rsidRPr="0005255B" w:rsidRDefault="00C40D5E" w:rsidP="00162987">
            <w:pPr>
              <w:spacing w:before="120" w:after="0" w:line="240" w:lineRule="auto"/>
              <w:jc w:val="center"/>
              <w:rPr>
                <w:rFonts w:eastAsia="Times New Roman" w:cstheme="minorHAnsi"/>
                <w:color w:val="000000"/>
              </w:rPr>
            </w:pPr>
            <w:r w:rsidRPr="0005255B">
              <w:rPr>
                <w:rFonts w:eastAsia="Times New Roman" w:cstheme="minorHAnsi"/>
                <w:color w:val="000000"/>
              </w:rPr>
              <w:t>126,982</w:t>
            </w:r>
          </w:p>
        </w:tc>
        <w:tc>
          <w:tcPr>
            <w:tcW w:w="1814" w:type="dxa"/>
            <w:tcBorders>
              <w:top w:val="nil"/>
              <w:bottom w:val="nil"/>
            </w:tcBorders>
            <w:shd w:val="clear" w:color="auto" w:fill="auto"/>
            <w:noWrap/>
            <w:vAlign w:val="bottom"/>
          </w:tcPr>
          <w:p w14:paraId="1FF88DAD" w14:textId="77777777" w:rsidR="00C40D5E" w:rsidRPr="0005255B" w:rsidRDefault="00C40D5E" w:rsidP="00162987">
            <w:pPr>
              <w:spacing w:before="120" w:after="0" w:line="240" w:lineRule="auto"/>
              <w:jc w:val="center"/>
              <w:rPr>
                <w:rFonts w:eastAsia="Times New Roman" w:cstheme="minorHAnsi"/>
                <w:color w:val="000000"/>
              </w:rPr>
            </w:pPr>
            <w:r w:rsidRPr="0005255B">
              <w:rPr>
                <w:rFonts w:eastAsia="Times New Roman" w:cstheme="minorHAnsi"/>
                <w:color w:val="000000"/>
              </w:rPr>
              <w:t>0.68 (0.53, 0.89)</w:t>
            </w:r>
          </w:p>
        </w:tc>
        <w:tc>
          <w:tcPr>
            <w:tcW w:w="1361" w:type="dxa"/>
            <w:tcBorders>
              <w:top w:val="nil"/>
              <w:bottom w:val="nil"/>
            </w:tcBorders>
            <w:shd w:val="clear" w:color="auto" w:fill="auto"/>
            <w:noWrap/>
            <w:vAlign w:val="bottom"/>
          </w:tcPr>
          <w:p w14:paraId="1D5FEAEF" w14:textId="77777777" w:rsidR="00C40D5E" w:rsidRPr="0005255B" w:rsidRDefault="00C40D5E" w:rsidP="00162987">
            <w:pPr>
              <w:spacing w:before="120" w:after="0" w:line="240" w:lineRule="auto"/>
              <w:jc w:val="center"/>
              <w:rPr>
                <w:rFonts w:eastAsia="Times New Roman" w:cstheme="minorHAnsi"/>
                <w:color w:val="000000"/>
              </w:rPr>
            </w:pPr>
            <w:r w:rsidRPr="0005255B">
              <w:rPr>
                <w:rFonts w:eastAsia="Times New Roman" w:cstheme="minorHAnsi"/>
                <w:color w:val="000000"/>
              </w:rPr>
              <w:t>113,702</w:t>
            </w:r>
          </w:p>
        </w:tc>
        <w:tc>
          <w:tcPr>
            <w:tcW w:w="1814" w:type="dxa"/>
            <w:tcBorders>
              <w:top w:val="nil"/>
              <w:bottom w:val="nil"/>
            </w:tcBorders>
            <w:shd w:val="clear" w:color="auto" w:fill="auto"/>
            <w:noWrap/>
            <w:vAlign w:val="bottom"/>
          </w:tcPr>
          <w:p w14:paraId="03C49870" w14:textId="77777777" w:rsidR="00C40D5E" w:rsidRPr="0005255B" w:rsidRDefault="00C40D5E" w:rsidP="00162987">
            <w:pPr>
              <w:spacing w:before="120" w:after="0" w:line="240" w:lineRule="auto"/>
              <w:jc w:val="center"/>
              <w:rPr>
                <w:rFonts w:eastAsia="Times New Roman" w:cstheme="minorHAnsi"/>
                <w:color w:val="000000"/>
              </w:rPr>
            </w:pPr>
            <w:r w:rsidRPr="0005255B">
              <w:rPr>
                <w:rFonts w:eastAsia="Times New Roman" w:cstheme="minorHAnsi"/>
                <w:color w:val="000000"/>
              </w:rPr>
              <w:t>0.75 (0.62, 0.91)</w:t>
            </w:r>
          </w:p>
        </w:tc>
      </w:tr>
      <w:tr w:rsidR="00C40D5E" w:rsidRPr="00CE66BE" w14:paraId="3ED26C30" w14:textId="77777777" w:rsidTr="00162987">
        <w:trPr>
          <w:trHeight w:val="290"/>
        </w:trPr>
        <w:tc>
          <w:tcPr>
            <w:tcW w:w="2400" w:type="dxa"/>
            <w:tcBorders>
              <w:top w:val="nil"/>
              <w:bottom w:val="nil"/>
            </w:tcBorders>
            <w:shd w:val="clear" w:color="auto" w:fill="auto"/>
            <w:noWrap/>
            <w:vAlign w:val="bottom"/>
          </w:tcPr>
          <w:p w14:paraId="554BF1DF" w14:textId="77777777" w:rsidR="00C40D5E" w:rsidRPr="00CE66BE" w:rsidRDefault="00C40D5E" w:rsidP="00162987">
            <w:pPr>
              <w:spacing w:after="0" w:line="240" w:lineRule="auto"/>
              <w:rPr>
                <w:rFonts w:eastAsia="Times New Roman" w:cstheme="minorHAnsi"/>
                <w:color w:val="000000"/>
              </w:rPr>
            </w:pPr>
          </w:p>
        </w:tc>
        <w:tc>
          <w:tcPr>
            <w:tcW w:w="1361" w:type="dxa"/>
            <w:tcBorders>
              <w:top w:val="nil"/>
              <w:bottom w:val="nil"/>
            </w:tcBorders>
            <w:shd w:val="clear" w:color="auto" w:fill="auto"/>
            <w:noWrap/>
            <w:vAlign w:val="bottom"/>
          </w:tcPr>
          <w:p w14:paraId="5D8AD42C" w14:textId="77777777" w:rsidR="00C40D5E" w:rsidRPr="00CE66BE" w:rsidRDefault="00C40D5E" w:rsidP="00162987">
            <w:pPr>
              <w:spacing w:after="0" w:line="240" w:lineRule="auto"/>
              <w:jc w:val="center"/>
              <w:rPr>
                <w:rFonts w:eastAsia="Times New Roman" w:cstheme="minorHAnsi"/>
                <w:color w:val="000000"/>
              </w:rPr>
            </w:pPr>
          </w:p>
        </w:tc>
        <w:tc>
          <w:tcPr>
            <w:tcW w:w="1814" w:type="dxa"/>
            <w:tcBorders>
              <w:top w:val="nil"/>
              <w:bottom w:val="nil"/>
            </w:tcBorders>
            <w:shd w:val="clear" w:color="auto" w:fill="auto"/>
            <w:noWrap/>
            <w:vAlign w:val="bottom"/>
          </w:tcPr>
          <w:p w14:paraId="31FA85DC" w14:textId="77777777" w:rsidR="00C40D5E" w:rsidRPr="00CE66BE" w:rsidRDefault="00C40D5E" w:rsidP="00162987">
            <w:pPr>
              <w:spacing w:after="0" w:line="240" w:lineRule="auto"/>
              <w:jc w:val="center"/>
              <w:rPr>
                <w:rFonts w:eastAsia="Times New Roman" w:cstheme="minorHAnsi"/>
                <w:color w:val="000000"/>
              </w:rPr>
            </w:pPr>
          </w:p>
        </w:tc>
        <w:tc>
          <w:tcPr>
            <w:tcW w:w="1361" w:type="dxa"/>
            <w:tcBorders>
              <w:top w:val="nil"/>
              <w:bottom w:val="nil"/>
            </w:tcBorders>
            <w:shd w:val="clear" w:color="auto" w:fill="auto"/>
            <w:noWrap/>
            <w:vAlign w:val="bottom"/>
          </w:tcPr>
          <w:p w14:paraId="72EE15A5" w14:textId="77777777" w:rsidR="00C40D5E" w:rsidRPr="00CE66BE" w:rsidRDefault="00C40D5E" w:rsidP="00162987">
            <w:pPr>
              <w:spacing w:after="0" w:line="240" w:lineRule="auto"/>
              <w:jc w:val="center"/>
              <w:rPr>
                <w:rFonts w:eastAsia="Times New Roman" w:cstheme="minorHAnsi"/>
                <w:color w:val="000000"/>
              </w:rPr>
            </w:pPr>
          </w:p>
        </w:tc>
        <w:tc>
          <w:tcPr>
            <w:tcW w:w="1814" w:type="dxa"/>
            <w:tcBorders>
              <w:top w:val="nil"/>
              <w:bottom w:val="nil"/>
            </w:tcBorders>
            <w:shd w:val="clear" w:color="auto" w:fill="auto"/>
            <w:noWrap/>
            <w:vAlign w:val="bottom"/>
          </w:tcPr>
          <w:p w14:paraId="32C15B25" w14:textId="77777777" w:rsidR="00C40D5E" w:rsidRPr="00CE66BE" w:rsidRDefault="00C40D5E" w:rsidP="00162987">
            <w:pPr>
              <w:spacing w:after="0" w:line="240" w:lineRule="auto"/>
              <w:jc w:val="center"/>
              <w:rPr>
                <w:rFonts w:eastAsia="Times New Roman" w:cstheme="minorHAnsi"/>
                <w:color w:val="000000"/>
              </w:rPr>
            </w:pPr>
          </w:p>
        </w:tc>
      </w:tr>
      <w:tr w:rsidR="00C40D5E" w:rsidRPr="00CE66BE" w14:paraId="2981D299" w14:textId="77777777" w:rsidTr="00162987">
        <w:trPr>
          <w:trHeight w:val="290"/>
        </w:trPr>
        <w:tc>
          <w:tcPr>
            <w:tcW w:w="2400" w:type="dxa"/>
            <w:tcBorders>
              <w:top w:val="nil"/>
              <w:bottom w:val="nil"/>
            </w:tcBorders>
            <w:shd w:val="clear" w:color="auto" w:fill="auto"/>
            <w:noWrap/>
            <w:vAlign w:val="bottom"/>
          </w:tcPr>
          <w:p w14:paraId="298D4DCC" w14:textId="77777777" w:rsidR="00C40D5E" w:rsidRPr="00CE66BE" w:rsidRDefault="00C40D5E" w:rsidP="00162987">
            <w:pPr>
              <w:spacing w:after="0" w:line="240" w:lineRule="auto"/>
              <w:rPr>
                <w:rFonts w:eastAsia="Times New Roman" w:cstheme="minorHAnsi"/>
                <w:color w:val="000000"/>
              </w:rPr>
            </w:pPr>
            <w:r w:rsidRPr="00CE66BE">
              <w:rPr>
                <w:rFonts w:eastAsia="Times New Roman" w:cstheme="minorHAnsi"/>
                <w:b/>
                <w:bCs/>
                <w:color w:val="000000"/>
              </w:rPr>
              <w:t>Severe CHD</w:t>
            </w:r>
            <w:r w:rsidRPr="00CE66BE">
              <w:rPr>
                <w:rFonts w:eastAsia="Times New Roman" w:cstheme="minorHAnsi"/>
                <w:b/>
                <w:bCs/>
                <w:color w:val="000000"/>
                <w:vertAlign w:val="superscript"/>
              </w:rPr>
              <w:t xml:space="preserve"> ^</w:t>
            </w:r>
          </w:p>
        </w:tc>
        <w:tc>
          <w:tcPr>
            <w:tcW w:w="1361" w:type="dxa"/>
            <w:tcBorders>
              <w:top w:val="nil"/>
              <w:bottom w:val="nil"/>
            </w:tcBorders>
            <w:shd w:val="clear" w:color="auto" w:fill="auto"/>
            <w:noWrap/>
            <w:vAlign w:val="bottom"/>
          </w:tcPr>
          <w:p w14:paraId="2CEE5537" w14:textId="77777777" w:rsidR="00C40D5E" w:rsidRPr="00CE66BE" w:rsidRDefault="00C40D5E" w:rsidP="00162987">
            <w:pPr>
              <w:spacing w:after="0" w:line="240" w:lineRule="auto"/>
              <w:jc w:val="center"/>
              <w:rPr>
                <w:rFonts w:eastAsia="Times New Roman" w:cstheme="minorHAnsi"/>
                <w:color w:val="000000"/>
              </w:rPr>
            </w:pPr>
          </w:p>
        </w:tc>
        <w:tc>
          <w:tcPr>
            <w:tcW w:w="1814" w:type="dxa"/>
            <w:tcBorders>
              <w:top w:val="nil"/>
              <w:bottom w:val="nil"/>
            </w:tcBorders>
            <w:shd w:val="clear" w:color="auto" w:fill="auto"/>
            <w:noWrap/>
            <w:vAlign w:val="bottom"/>
          </w:tcPr>
          <w:p w14:paraId="4E47EB1B" w14:textId="77777777" w:rsidR="00C40D5E" w:rsidRPr="00CE66BE" w:rsidRDefault="00C40D5E" w:rsidP="00162987">
            <w:pPr>
              <w:spacing w:after="0" w:line="240" w:lineRule="auto"/>
              <w:jc w:val="center"/>
              <w:rPr>
                <w:rFonts w:eastAsia="Times New Roman" w:cstheme="minorHAnsi"/>
                <w:color w:val="000000"/>
              </w:rPr>
            </w:pPr>
          </w:p>
        </w:tc>
        <w:tc>
          <w:tcPr>
            <w:tcW w:w="1361" w:type="dxa"/>
            <w:tcBorders>
              <w:top w:val="nil"/>
              <w:bottom w:val="nil"/>
            </w:tcBorders>
            <w:shd w:val="clear" w:color="auto" w:fill="auto"/>
            <w:noWrap/>
            <w:vAlign w:val="bottom"/>
          </w:tcPr>
          <w:p w14:paraId="381359A1" w14:textId="77777777" w:rsidR="00C40D5E" w:rsidRPr="00CE66BE" w:rsidRDefault="00C40D5E" w:rsidP="00162987">
            <w:pPr>
              <w:spacing w:after="0" w:line="240" w:lineRule="auto"/>
              <w:jc w:val="center"/>
              <w:rPr>
                <w:rFonts w:eastAsia="Times New Roman" w:cstheme="minorHAnsi"/>
                <w:color w:val="000000"/>
              </w:rPr>
            </w:pPr>
          </w:p>
        </w:tc>
        <w:tc>
          <w:tcPr>
            <w:tcW w:w="1814" w:type="dxa"/>
            <w:tcBorders>
              <w:top w:val="nil"/>
              <w:bottom w:val="nil"/>
            </w:tcBorders>
            <w:shd w:val="clear" w:color="auto" w:fill="auto"/>
            <w:noWrap/>
            <w:vAlign w:val="bottom"/>
          </w:tcPr>
          <w:p w14:paraId="596241C4" w14:textId="77777777" w:rsidR="00C40D5E" w:rsidRPr="00CE66BE" w:rsidRDefault="00C40D5E" w:rsidP="00162987">
            <w:pPr>
              <w:spacing w:after="0" w:line="240" w:lineRule="auto"/>
              <w:jc w:val="center"/>
              <w:rPr>
                <w:rFonts w:eastAsia="Times New Roman" w:cstheme="minorHAnsi"/>
                <w:color w:val="000000"/>
              </w:rPr>
            </w:pPr>
          </w:p>
        </w:tc>
      </w:tr>
      <w:tr w:rsidR="00C40D5E" w:rsidRPr="00CE66BE" w14:paraId="14B86829" w14:textId="77777777" w:rsidTr="00162987">
        <w:trPr>
          <w:trHeight w:val="290"/>
        </w:trPr>
        <w:tc>
          <w:tcPr>
            <w:tcW w:w="2400" w:type="dxa"/>
            <w:tcBorders>
              <w:top w:val="nil"/>
              <w:bottom w:val="nil"/>
            </w:tcBorders>
            <w:shd w:val="clear" w:color="auto" w:fill="auto"/>
            <w:noWrap/>
            <w:vAlign w:val="bottom"/>
          </w:tcPr>
          <w:p w14:paraId="7478FB9D" w14:textId="77777777" w:rsidR="00C40D5E" w:rsidRPr="00CE66BE" w:rsidRDefault="00C40D5E" w:rsidP="00162987">
            <w:pPr>
              <w:spacing w:after="0" w:line="240" w:lineRule="auto"/>
              <w:rPr>
                <w:rFonts w:eastAsia="Times New Roman" w:cstheme="minorHAnsi"/>
                <w:color w:val="000000"/>
              </w:rPr>
            </w:pPr>
            <w:proofErr w:type="spellStart"/>
            <w:r w:rsidRPr="00CE66BE">
              <w:rPr>
                <w:rFonts w:eastAsia="Times New Roman" w:cstheme="minorHAnsi"/>
                <w:color w:val="000000"/>
              </w:rPr>
              <w:t>Belgium</w:t>
            </w:r>
            <w:proofErr w:type="spellEnd"/>
            <w:r w:rsidRPr="00CE66BE">
              <w:rPr>
                <w:rFonts w:eastAsia="Times New Roman" w:cstheme="minorHAnsi"/>
                <w:color w:val="000000"/>
              </w:rPr>
              <w:t>: Antwerp</w:t>
            </w:r>
            <w:r w:rsidRPr="00CE66BE">
              <w:rPr>
                <w:rFonts w:cstheme="minorHAnsi"/>
                <w:sz w:val="20"/>
                <w:szCs w:val="20"/>
                <w:vertAlign w:val="superscript"/>
                <w:lang w:val="en-GB"/>
              </w:rPr>
              <w:t>#</w:t>
            </w:r>
          </w:p>
        </w:tc>
        <w:tc>
          <w:tcPr>
            <w:tcW w:w="1361" w:type="dxa"/>
            <w:tcBorders>
              <w:top w:val="nil"/>
              <w:bottom w:val="nil"/>
            </w:tcBorders>
            <w:shd w:val="clear" w:color="auto" w:fill="auto"/>
            <w:noWrap/>
            <w:vAlign w:val="bottom"/>
          </w:tcPr>
          <w:p w14:paraId="6059B38A" w14:textId="77777777" w:rsidR="00C40D5E" w:rsidRPr="00CE66BE" w:rsidRDefault="00C40D5E" w:rsidP="00162987">
            <w:pPr>
              <w:spacing w:after="0" w:line="240" w:lineRule="auto"/>
              <w:jc w:val="center"/>
              <w:rPr>
                <w:rFonts w:eastAsia="Times New Roman" w:cstheme="minorHAnsi"/>
                <w:color w:val="000000"/>
              </w:rPr>
            </w:pPr>
            <w:r w:rsidRPr="00CE66BE">
              <w:rPr>
                <w:rFonts w:eastAsia="Times New Roman" w:cstheme="minorHAnsi"/>
                <w:color w:val="000000"/>
              </w:rPr>
              <w:t>415</w:t>
            </w:r>
          </w:p>
        </w:tc>
        <w:tc>
          <w:tcPr>
            <w:tcW w:w="1814" w:type="dxa"/>
            <w:tcBorders>
              <w:top w:val="nil"/>
              <w:bottom w:val="nil"/>
            </w:tcBorders>
            <w:shd w:val="clear" w:color="auto" w:fill="auto"/>
            <w:noWrap/>
            <w:vAlign w:val="bottom"/>
          </w:tcPr>
          <w:p w14:paraId="6C49988F" w14:textId="77777777" w:rsidR="00C40D5E" w:rsidRPr="00CE66BE" w:rsidRDefault="00C40D5E" w:rsidP="00162987">
            <w:pPr>
              <w:spacing w:after="0" w:line="240" w:lineRule="auto"/>
              <w:jc w:val="center"/>
              <w:rPr>
                <w:rFonts w:eastAsia="Times New Roman" w:cstheme="minorHAnsi"/>
                <w:color w:val="000000"/>
              </w:rPr>
            </w:pPr>
            <w:r w:rsidRPr="00CE66BE">
              <w:rPr>
                <w:rFonts w:eastAsia="Times New Roman" w:cstheme="minorHAnsi"/>
                <w:color w:val="000000"/>
              </w:rPr>
              <w:t>0.40</w:t>
            </w:r>
            <w:r>
              <w:rPr>
                <w:rFonts w:eastAsia="Times New Roman" w:cstheme="minorHAnsi"/>
                <w:color w:val="000000"/>
              </w:rPr>
              <w:t xml:space="preserve"> (0.24, </w:t>
            </w:r>
            <w:r w:rsidRPr="00CE66BE">
              <w:rPr>
                <w:rFonts w:eastAsia="Times New Roman" w:cstheme="minorHAnsi"/>
                <w:color w:val="000000"/>
              </w:rPr>
              <w:t>0.68</w:t>
            </w:r>
            <w:r>
              <w:rPr>
                <w:rFonts w:eastAsia="Times New Roman" w:cstheme="minorHAnsi"/>
                <w:color w:val="000000"/>
              </w:rPr>
              <w:t>)</w:t>
            </w:r>
          </w:p>
        </w:tc>
        <w:tc>
          <w:tcPr>
            <w:tcW w:w="1361" w:type="dxa"/>
            <w:tcBorders>
              <w:top w:val="nil"/>
              <w:bottom w:val="nil"/>
            </w:tcBorders>
            <w:shd w:val="clear" w:color="auto" w:fill="auto"/>
            <w:noWrap/>
            <w:vAlign w:val="bottom"/>
          </w:tcPr>
          <w:p w14:paraId="5E6EA793" w14:textId="77777777" w:rsidR="00C40D5E" w:rsidRPr="00CE66BE" w:rsidRDefault="00C40D5E" w:rsidP="00162987">
            <w:pPr>
              <w:spacing w:after="0" w:line="240" w:lineRule="auto"/>
              <w:jc w:val="center"/>
              <w:rPr>
                <w:rFonts w:eastAsia="Times New Roman" w:cstheme="minorHAnsi"/>
                <w:color w:val="000000"/>
              </w:rPr>
            </w:pPr>
            <w:r w:rsidRPr="00CE66BE">
              <w:rPr>
                <w:rFonts w:eastAsia="Times New Roman" w:cstheme="minorHAnsi"/>
              </w:rPr>
              <w:t>NA</w:t>
            </w:r>
          </w:p>
        </w:tc>
        <w:tc>
          <w:tcPr>
            <w:tcW w:w="1814" w:type="dxa"/>
            <w:tcBorders>
              <w:top w:val="nil"/>
              <w:bottom w:val="nil"/>
            </w:tcBorders>
            <w:shd w:val="clear" w:color="auto" w:fill="auto"/>
            <w:noWrap/>
            <w:vAlign w:val="bottom"/>
          </w:tcPr>
          <w:p w14:paraId="561F9588" w14:textId="77777777" w:rsidR="00C40D5E" w:rsidRPr="00CE66BE" w:rsidRDefault="00C40D5E" w:rsidP="00162987">
            <w:pPr>
              <w:spacing w:after="0" w:line="240" w:lineRule="auto"/>
              <w:jc w:val="center"/>
              <w:rPr>
                <w:rFonts w:eastAsia="Times New Roman" w:cstheme="minorHAnsi"/>
                <w:color w:val="000000"/>
              </w:rPr>
            </w:pPr>
            <w:r w:rsidRPr="00CE66BE">
              <w:rPr>
                <w:rFonts w:eastAsia="Times New Roman" w:cstheme="minorHAnsi"/>
                <w:color w:val="000000"/>
              </w:rPr>
              <w:t>NA</w:t>
            </w:r>
          </w:p>
        </w:tc>
      </w:tr>
      <w:tr w:rsidR="00C40D5E" w:rsidRPr="00CE66BE" w14:paraId="777ADC3A" w14:textId="77777777" w:rsidTr="00162987">
        <w:trPr>
          <w:trHeight w:val="290"/>
        </w:trPr>
        <w:tc>
          <w:tcPr>
            <w:tcW w:w="2400" w:type="dxa"/>
            <w:tcBorders>
              <w:top w:val="nil"/>
              <w:bottom w:val="nil"/>
            </w:tcBorders>
            <w:shd w:val="clear" w:color="auto" w:fill="auto"/>
            <w:noWrap/>
            <w:vAlign w:val="bottom"/>
          </w:tcPr>
          <w:p w14:paraId="0180BA00" w14:textId="77777777" w:rsidR="00C40D5E" w:rsidRPr="00CE66BE" w:rsidRDefault="00C40D5E" w:rsidP="00162987">
            <w:pPr>
              <w:spacing w:after="0" w:line="240" w:lineRule="auto"/>
              <w:rPr>
                <w:rFonts w:eastAsia="Times New Roman" w:cstheme="minorHAnsi"/>
                <w:color w:val="000000"/>
              </w:rPr>
            </w:pPr>
            <w:proofErr w:type="spellStart"/>
            <w:r w:rsidRPr="00CE66BE">
              <w:rPr>
                <w:rFonts w:eastAsia="Times New Roman" w:cstheme="minorHAnsi"/>
                <w:color w:val="000000"/>
              </w:rPr>
              <w:t>Denmark</w:t>
            </w:r>
            <w:proofErr w:type="spellEnd"/>
            <w:r w:rsidRPr="00CE66BE">
              <w:rPr>
                <w:rFonts w:eastAsia="Times New Roman" w:cstheme="minorHAnsi"/>
                <w:color w:val="000000"/>
              </w:rPr>
              <w:t xml:space="preserve">: </w:t>
            </w:r>
            <w:proofErr w:type="spellStart"/>
            <w:r w:rsidRPr="00CE66BE">
              <w:rPr>
                <w:rFonts w:eastAsia="Times New Roman" w:cstheme="minorHAnsi"/>
                <w:color w:val="000000"/>
              </w:rPr>
              <w:t>Funen</w:t>
            </w:r>
            <w:proofErr w:type="spellEnd"/>
          </w:p>
        </w:tc>
        <w:tc>
          <w:tcPr>
            <w:tcW w:w="1361" w:type="dxa"/>
            <w:tcBorders>
              <w:top w:val="nil"/>
              <w:bottom w:val="nil"/>
            </w:tcBorders>
            <w:shd w:val="clear" w:color="auto" w:fill="auto"/>
            <w:noWrap/>
            <w:vAlign w:val="bottom"/>
          </w:tcPr>
          <w:p w14:paraId="426C41F4" w14:textId="77777777" w:rsidR="00C40D5E" w:rsidRPr="00CE66BE" w:rsidRDefault="00C40D5E" w:rsidP="00162987">
            <w:pPr>
              <w:spacing w:after="0" w:line="240" w:lineRule="auto"/>
              <w:jc w:val="center"/>
              <w:rPr>
                <w:rFonts w:eastAsia="Times New Roman" w:cstheme="minorHAnsi"/>
                <w:color w:val="000000"/>
              </w:rPr>
            </w:pPr>
            <w:r w:rsidRPr="00CE66BE">
              <w:rPr>
                <w:rFonts w:eastAsia="Times New Roman" w:cstheme="minorHAnsi"/>
                <w:color w:val="000000"/>
              </w:rPr>
              <w:t>160</w:t>
            </w:r>
          </w:p>
        </w:tc>
        <w:tc>
          <w:tcPr>
            <w:tcW w:w="1814" w:type="dxa"/>
            <w:tcBorders>
              <w:top w:val="nil"/>
              <w:bottom w:val="nil"/>
            </w:tcBorders>
            <w:shd w:val="clear" w:color="auto" w:fill="auto"/>
            <w:noWrap/>
            <w:vAlign w:val="bottom"/>
          </w:tcPr>
          <w:p w14:paraId="4E2B1112" w14:textId="77777777" w:rsidR="00C40D5E" w:rsidRPr="00CE66BE" w:rsidRDefault="00C40D5E" w:rsidP="00162987">
            <w:pPr>
              <w:spacing w:after="0" w:line="240" w:lineRule="auto"/>
              <w:jc w:val="center"/>
              <w:rPr>
                <w:rFonts w:eastAsia="Times New Roman" w:cstheme="minorHAnsi"/>
                <w:color w:val="000000"/>
              </w:rPr>
            </w:pPr>
            <w:r w:rsidRPr="00CE66BE">
              <w:rPr>
                <w:rFonts w:eastAsia="Times New Roman" w:cstheme="minorHAnsi"/>
                <w:color w:val="000000"/>
              </w:rPr>
              <w:t>0.44</w:t>
            </w:r>
            <w:r>
              <w:rPr>
                <w:rFonts w:eastAsia="Times New Roman" w:cstheme="minorHAnsi"/>
                <w:color w:val="000000"/>
              </w:rPr>
              <w:t xml:space="preserve"> (0.19, </w:t>
            </w:r>
            <w:r w:rsidRPr="00CE66BE">
              <w:rPr>
                <w:rFonts w:eastAsia="Times New Roman" w:cstheme="minorHAnsi"/>
                <w:color w:val="000000"/>
              </w:rPr>
              <w:t>0.99</w:t>
            </w:r>
            <w:r>
              <w:rPr>
                <w:rFonts w:eastAsia="Times New Roman" w:cstheme="minorHAnsi"/>
                <w:color w:val="000000"/>
              </w:rPr>
              <w:t>)</w:t>
            </w:r>
          </w:p>
        </w:tc>
        <w:tc>
          <w:tcPr>
            <w:tcW w:w="1361" w:type="dxa"/>
            <w:tcBorders>
              <w:top w:val="nil"/>
              <w:bottom w:val="nil"/>
            </w:tcBorders>
            <w:shd w:val="clear" w:color="auto" w:fill="auto"/>
            <w:noWrap/>
            <w:vAlign w:val="bottom"/>
          </w:tcPr>
          <w:p w14:paraId="653AC644" w14:textId="77777777" w:rsidR="00C40D5E" w:rsidRPr="00CE66BE" w:rsidRDefault="00C40D5E" w:rsidP="00162987">
            <w:pPr>
              <w:spacing w:after="0" w:line="240" w:lineRule="auto"/>
              <w:jc w:val="center"/>
              <w:rPr>
                <w:rFonts w:eastAsia="Times New Roman" w:cstheme="minorHAnsi"/>
              </w:rPr>
            </w:pPr>
            <w:r w:rsidRPr="00CE66BE">
              <w:rPr>
                <w:rFonts w:eastAsia="Times New Roman" w:cstheme="minorHAnsi"/>
                <w:color w:val="000000"/>
              </w:rPr>
              <w:t>130</w:t>
            </w:r>
          </w:p>
        </w:tc>
        <w:tc>
          <w:tcPr>
            <w:tcW w:w="1814" w:type="dxa"/>
            <w:tcBorders>
              <w:top w:val="nil"/>
              <w:bottom w:val="nil"/>
            </w:tcBorders>
            <w:shd w:val="clear" w:color="auto" w:fill="auto"/>
            <w:noWrap/>
            <w:vAlign w:val="bottom"/>
          </w:tcPr>
          <w:p w14:paraId="1AD4F9AB" w14:textId="77777777" w:rsidR="00C40D5E" w:rsidRPr="00CE66BE" w:rsidRDefault="00C40D5E" w:rsidP="00162987">
            <w:pPr>
              <w:spacing w:after="0" w:line="240" w:lineRule="auto"/>
              <w:jc w:val="center"/>
              <w:rPr>
                <w:rFonts w:eastAsia="Times New Roman" w:cstheme="minorHAnsi"/>
                <w:color w:val="000000"/>
              </w:rPr>
            </w:pPr>
            <w:r w:rsidRPr="00CE66BE">
              <w:rPr>
                <w:rFonts w:eastAsia="Times New Roman" w:cstheme="minorHAnsi"/>
                <w:color w:val="000000"/>
              </w:rPr>
              <w:t>NC</w:t>
            </w:r>
          </w:p>
        </w:tc>
      </w:tr>
      <w:tr w:rsidR="00C40D5E" w:rsidRPr="00CE66BE" w14:paraId="34897787" w14:textId="77777777" w:rsidTr="00162987">
        <w:trPr>
          <w:trHeight w:val="290"/>
        </w:trPr>
        <w:tc>
          <w:tcPr>
            <w:tcW w:w="2400" w:type="dxa"/>
            <w:tcBorders>
              <w:top w:val="nil"/>
              <w:bottom w:val="nil"/>
            </w:tcBorders>
            <w:shd w:val="clear" w:color="auto" w:fill="auto"/>
            <w:noWrap/>
            <w:vAlign w:val="bottom"/>
          </w:tcPr>
          <w:p w14:paraId="3F5F855F" w14:textId="77777777" w:rsidR="00C40D5E" w:rsidRPr="00CE66BE" w:rsidRDefault="00C40D5E" w:rsidP="00162987">
            <w:pPr>
              <w:spacing w:after="0" w:line="240" w:lineRule="auto"/>
              <w:rPr>
                <w:rFonts w:eastAsia="Times New Roman" w:cstheme="minorHAnsi"/>
                <w:color w:val="000000"/>
              </w:rPr>
            </w:pPr>
            <w:proofErr w:type="spellStart"/>
            <w:r w:rsidRPr="00CE66BE">
              <w:rPr>
                <w:rFonts w:eastAsia="Times New Roman" w:cstheme="minorHAnsi"/>
                <w:color w:val="000000"/>
              </w:rPr>
              <w:t>Finland</w:t>
            </w:r>
            <w:proofErr w:type="spellEnd"/>
          </w:p>
        </w:tc>
        <w:tc>
          <w:tcPr>
            <w:tcW w:w="1361" w:type="dxa"/>
            <w:tcBorders>
              <w:top w:val="nil"/>
              <w:bottom w:val="nil"/>
            </w:tcBorders>
            <w:shd w:val="clear" w:color="auto" w:fill="auto"/>
            <w:noWrap/>
            <w:vAlign w:val="bottom"/>
          </w:tcPr>
          <w:p w14:paraId="4E8C615B" w14:textId="77777777" w:rsidR="00C40D5E" w:rsidRPr="00CE66BE" w:rsidRDefault="00C40D5E" w:rsidP="00162987">
            <w:pPr>
              <w:spacing w:after="0" w:line="240" w:lineRule="auto"/>
              <w:jc w:val="center"/>
              <w:rPr>
                <w:rFonts w:eastAsia="Times New Roman" w:cstheme="minorHAnsi"/>
                <w:color w:val="000000"/>
              </w:rPr>
            </w:pPr>
            <w:r w:rsidRPr="00CE66BE">
              <w:rPr>
                <w:rFonts w:eastAsia="Times New Roman" w:cstheme="minorHAnsi"/>
                <w:color w:val="000000"/>
              </w:rPr>
              <w:t>2,403</w:t>
            </w:r>
          </w:p>
        </w:tc>
        <w:tc>
          <w:tcPr>
            <w:tcW w:w="1814" w:type="dxa"/>
            <w:tcBorders>
              <w:top w:val="nil"/>
              <w:bottom w:val="nil"/>
            </w:tcBorders>
            <w:shd w:val="clear" w:color="auto" w:fill="auto"/>
            <w:noWrap/>
            <w:vAlign w:val="bottom"/>
          </w:tcPr>
          <w:p w14:paraId="7A7FC3B6" w14:textId="77777777" w:rsidR="00C40D5E" w:rsidRPr="00CE66BE" w:rsidRDefault="00C40D5E" w:rsidP="00162987">
            <w:pPr>
              <w:spacing w:after="0" w:line="240" w:lineRule="auto"/>
              <w:jc w:val="center"/>
              <w:rPr>
                <w:rFonts w:eastAsia="Times New Roman" w:cstheme="minorHAnsi"/>
                <w:color w:val="000000"/>
              </w:rPr>
            </w:pPr>
            <w:r w:rsidRPr="00CE66BE">
              <w:rPr>
                <w:rFonts w:eastAsia="Times New Roman" w:cstheme="minorHAnsi"/>
                <w:color w:val="000000"/>
              </w:rPr>
              <w:t>0.45</w:t>
            </w:r>
            <w:r>
              <w:rPr>
                <w:rFonts w:eastAsia="Times New Roman" w:cstheme="minorHAnsi"/>
                <w:color w:val="000000"/>
              </w:rPr>
              <w:t xml:space="preserve"> (0.35, </w:t>
            </w:r>
            <w:r w:rsidRPr="00CE66BE">
              <w:rPr>
                <w:rFonts w:eastAsia="Times New Roman" w:cstheme="minorHAnsi"/>
                <w:color w:val="000000"/>
              </w:rPr>
              <w:t>0.58</w:t>
            </w:r>
            <w:r>
              <w:rPr>
                <w:rFonts w:eastAsia="Times New Roman" w:cstheme="minorHAnsi"/>
                <w:color w:val="000000"/>
              </w:rPr>
              <w:t>)</w:t>
            </w:r>
          </w:p>
        </w:tc>
        <w:tc>
          <w:tcPr>
            <w:tcW w:w="1361" w:type="dxa"/>
            <w:tcBorders>
              <w:top w:val="nil"/>
              <w:bottom w:val="nil"/>
            </w:tcBorders>
            <w:shd w:val="clear" w:color="auto" w:fill="auto"/>
            <w:noWrap/>
            <w:vAlign w:val="bottom"/>
          </w:tcPr>
          <w:p w14:paraId="12840D4A" w14:textId="77777777" w:rsidR="00C40D5E" w:rsidRPr="00CE66BE" w:rsidRDefault="00C40D5E" w:rsidP="00162987">
            <w:pPr>
              <w:spacing w:after="0" w:line="240" w:lineRule="auto"/>
              <w:jc w:val="center"/>
              <w:rPr>
                <w:rFonts w:eastAsia="Times New Roman" w:cstheme="minorHAnsi"/>
                <w:color w:val="000000"/>
              </w:rPr>
            </w:pPr>
            <w:r w:rsidRPr="00CE66BE">
              <w:rPr>
                <w:rFonts w:eastAsia="Times New Roman" w:cstheme="minorHAnsi"/>
                <w:color w:val="000000"/>
              </w:rPr>
              <w:t>2,145</w:t>
            </w:r>
          </w:p>
        </w:tc>
        <w:tc>
          <w:tcPr>
            <w:tcW w:w="1814" w:type="dxa"/>
            <w:tcBorders>
              <w:top w:val="nil"/>
              <w:bottom w:val="nil"/>
            </w:tcBorders>
            <w:shd w:val="clear" w:color="auto" w:fill="auto"/>
            <w:noWrap/>
            <w:vAlign w:val="bottom"/>
          </w:tcPr>
          <w:p w14:paraId="6EFE8036" w14:textId="77777777" w:rsidR="00C40D5E" w:rsidRPr="00CE66BE" w:rsidRDefault="00C40D5E" w:rsidP="00162987">
            <w:pPr>
              <w:spacing w:after="0" w:line="240" w:lineRule="auto"/>
              <w:jc w:val="center"/>
              <w:rPr>
                <w:rFonts w:eastAsia="Times New Roman" w:cstheme="minorHAnsi"/>
                <w:color w:val="000000"/>
              </w:rPr>
            </w:pPr>
            <w:r w:rsidRPr="00CE66BE">
              <w:rPr>
                <w:rFonts w:eastAsia="Times New Roman" w:cstheme="minorHAnsi"/>
                <w:color w:val="000000"/>
              </w:rPr>
              <w:t>0.33</w:t>
            </w:r>
            <w:r>
              <w:rPr>
                <w:rFonts w:eastAsia="Times New Roman" w:cstheme="minorHAnsi"/>
                <w:color w:val="000000"/>
              </w:rPr>
              <w:t xml:space="preserve"> (0.12, </w:t>
            </w:r>
            <w:r w:rsidRPr="00CE66BE">
              <w:rPr>
                <w:rFonts w:eastAsia="Times New Roman" w:cstheme="minorHAnsi"/>
                <w:color w:val="000000"/>
              </w:rPr>
              <w:t>0.89</w:t>
            </w:r>
            <w:r>
              <w:rPr>
                <w:rFonts w:eastAsia="Times New Roman" w:cstheme="minorHAnsi"/>
                <w:color w:val="000000"/>
              </w:rPr>
              <w:t>)</w:t>
            </w:r>
          </w:p>
        </w:tc>
      </w:tr>
      <w:tr w:rsidR="00C40D5E" w:rsidRPr="00CE66BE" w14:paraId="18C7F92F" w14:textId="77777777" w:rsidTr="00162987">
        <w:trPr>
          <w:trHeight w:val="290"/>
        </w:trPr>
        <w:tc>
          <w:tcPr>
            <w:tcW w:w="2400" w:type="dxa"/>
            <w:tcBorders>
              <w:top w:val="nil"/>
              <w:bottom w:val="nil"/>
            </w:tcBorders>
            <w:shd w:val="clear" w:color="auto" w:fill="auto"/>
            <w:noWrap/>
            <w:vAlign w:val="bottom"/>
          </w:tcPr>
          <w:p w14:paraId="18BB3CB4" w14:textId="77777777" w:rsidR="00C40D5E" w:rsidRPr="00CE66BE" w:rsidRDefault="00C40D5E" w:rsidP="00162987">
            <w:pPr>
              <w:spacing w:after="0" w:line="240" w:lineRule="auto"/>
              <w:rPr>
                <w:rFonts w:eastAsia="Times New Roman" w:cstheme="minorHAnsi"/>
                <w:color w:val="000000"/>
              </w:rPr>
            </w:pPr>
            <w:r w:rsidRPr="00CE66BE">
              <w:rPr>
                <w:rFonts w:eastAsia="Times New Roman" w:cstheme="minorHAnsi"/>
                <w:color w:val="000000"/>
              </w:rPr>
              <w:t>France: Paris</w:t>
            </w:r>
          </w:p>
        </w:tc>
        <w:tc>
          <w:tcPr>
            <w:tcW w:w="1361" w:type="dxa"/>
            <w:tcBorders>
              <w:top w:val="nil"/>
              <w:bottom w:val="nil"/>
            </w:tcBorders>
            <w:shd w:val="clear" w:color="auto" w:fill="auto"/>
            <w:noWrap/>
            <w:vAlign w:val="bottom"/>
          </w:tcPr>
          <w:p w14:paraId="621483E1" w14:textId="77777777" w:rsidR="00C40D5E" w:rsidRPr="00CE66BE" w:rsidRDefault="00C40D5E" w:rsidP="00162987">
            <w:pPr>
              <w:spacing w:after="0" w:line="240" w:lineRule="auto"/>
              <w:jc w:val="center"/>
              <w:rPr>
                <w:rFonts w:eastAsia="Times New Roman" w:cstheme="minorHAnsi"/>
                <w:color w:val="000000"/>
              </w:rPr>
            </w:pPr>
            <w:r w:rsidRPr="00CE66BE">
              <w:rPr>
                <w:rFonts w:eastAsia="Times New Roman" w:cstheme="minorHAnsi"/>
                <w:color w:val="000000"/>
              </w:rPr>
              <w:t>574</w:t>
            </w:r>
          </w:p>
        </w:tc>
        <w:tc>
          <w:tcPr>
            <w:tcW w:w="1814" w:type="dxa"/>
            <w:tcBorders>
              <w:top w:val="nil"/>
              <w:bottom w:val="nil"/>
            </w:tcBorders>
            <w:shd w:val="clear" w:color="auto" w:fill="auto"/>
            <w:noWrap/>
            <w:vAlign w:val="bottom"/>
          </w:tcPr>
          <w:p w14:paraId="48143B4F" w14:textId="77777777" w:rsidR="00C40D5E" w:rsidRPr="00CE66BE" w:rsidRDefault="00C40D5E" w:rsidP="00162987">
            <w:pPr>
              <w:spacing w:after="0" w:line="240" w:lineRule="auto"/>
              <w:jc w:val="center"/>
              <w:rPr>
                <w:rFonts w:eastAsia="Times New Roman" w:cstheme="minorHAnsi"/>
                <w:color w:val="000000"/>
              </w:rPr>
            </w:pPr>
            <w:r w:rsidRPr="00CE66BE">
              <w:rPr>
                <w:rFonts w:eastAsia="Times New Roman" w:cstheme="minorHAnsi"/>
                <w:color w:val="000000"/>
              </w:rPr>
              <w:t>0.86</w:t>
            </w:r>
            <w:r>
              <w:rPr>
                <w:rFonts w:eastAsia="Times New Roman" w:cstheme="minorHAnsi"/>
                <w:color w:val="000000"/>
              </w:rPr>
              <w:t xml:space="preserve"> (0.58, </w:t>
            </w:r>
            <w:r w:rsidRPr="00CE66BE">
              <w:rPr>
                <w:rFonts w:eastAsia="Times New Roman" w:cstheme="minorHAnsi"/>
                <w:color w:val="000000"/>
              </w:rPr>
              <w:t>1.27</w:t>
            </w:r>
            <w:r>
              <w:rPr>
                <w:rFonts w:eastAsia="Times New Roman" w:cstheme="minorHAnsi"/>
                <w:color w:val="000000"/>
              </w:rPr>
              <w:t>)</w:t>
            </w:r>
          </w:p>
        </w:tc>
        <w:tc>
          <w:tcPr>
            <w:tcW w:w="1361" w:type="dxa"/>
            <w:tcBorders>
              <w:top w:val="nil"/>
              <w:bottom w:val="nil"/>
            </w:tcBorders>
            <w:shd w:val="clear" w:color="auto" w:fill="auto"/>
            <w:noWrap/>
            <w:vAlign w:val="bottom"/>
          </w:tcPr>
          <w:p w14:paraId="4B34271B" w14:textId="77777777" w:rsidR="00C40D5E" w:rsidRPr="00CE66BE" w:rsidRDefault="00C40D5E" w:rsidP="00162987">
            <w:pPr>
              <w:spacing w:after="0" w:line="240" w:lineRule="auto"/>
              <w:jc w:val="center"/>
              <w:rPr>
                <w:rFonts w:eastAsia="Times New Roman" w:cstheme="minorHAnsi"/>
                <w:color w:val="000000"/>
              </w:rPr>
            </w:pPr>
            <w:r w:rsidRPr="00CE66BE">
              <w:rPr>
                <w:rFonts w:eastAsia="Times New Roman" w:cstheme="minorHAnsi"/>
                <w:color w:val="000000"/>
              </w:rPr>
              <w:t>471</w:t>
            </w:r>
          </w:p>
        </w:tc>
        <w:tc>
          <w:tcPr>
            <w:tcW w:w="1814" w:type="dxa"/>
            <w:tcBorders>
              <w:top w:val="nil"/>
              <w:bottom w:val="nil"/>
            </w:tcBorders>
            <w:shd w:val="clear" w:color="auto" w:fill="auto"/>
            <w:noWrap/>
            <w:vAlign w:val="bottom"/>
          </w:tcPr>
          <w:p w14:paraId="2ACD15BF" w14:textId="77777777" w:rsidR="00C40D5E" w:rsidRPr="00CE66BE" w:rsidRDefault="00C40D5E" w:rsidP="00162987">
            <w:pPr>
              <w:spacing w:after="0" w:line="240" w:lineRule="auto"/>
              <w:jc w:val="center"/>
              <w:rPr>
                <w:rFonts w:eastAsia="Times New Roman" w:cstheme="minorHAnsi"/>
                <w:color w:val="000000"/>
              </w:rPr>
            </w:pPr>
            <w:r w:rsidRPr="00CE66BE">
              <w:rPr>
                <w:rFonts w:eastAsia="Times New Roman" w:cstheme="minorHAnsi"/>
                <w:color w:val="000000"/>
              </w:rPr>
              <w:t>0.80</w:t>
            </w:r>
            <w:r>
              <w:rPr>
                <w:rFonts w:eastAsia="Times New Roman" w:cstheme="minorHAnsi"/>
                <w:color w:val="000000"/>
              </w:rPr>
              <w:t xml:space="preserve"> (0.19, </w:t>
            </w:r>
            <w:r w:rsidRPr="00CE66BE">
              <w:rPr>
                <w:rFonts w:eastAsia="Times New Roman" w:cstheme="minorHAnsi"/>
                <w:color w:val="000000"/>
              </w:rPr>
              <w:t>3.31</w:t>
            </w:r>
            <w:r>
              <w:rPr>
                <w:rFonts w:eastAsia="Times New Roman" w:cstheme="minorHAnsi"/>
                <w:color w:val="000000"/>
              </w:rPr>
              <w:t>)</w:t>
            </w:r>
          </w:p>
        </w:tc>
      </w:tr>
      <w:tr w:rsidR="00C40D5E" w:rsidRPr="00CE66BE" w14:paraId="7E0FB3CA" w14:textId="77777777" w:rsidTr="00162987">
        <w:trPr>
          <w:trHeight w:val="290"/>
        </w:trPr>
        <w:tc>
          <w:tcPr>
            <w:tcW w:w="2400" w:type="dxa"/>
            <w:tcBorders>
              <w:top w:val="nil"/>
              <w:bottom w:val="nil"/>
            </w:tcBorders>
            <w:shd w:val="clear" w:color="auto" w:fill="auto"/>
            <w:noWrap/>
            <w:vAlign w:val="bottom"/>
          </w:tcPr>
          <w:p w14:paraId="4AAF4DC6" w14:textId="77777777" w:rsidR="00C40D5E" w:rsidRPr="00CE66BE" w:rsidRDefault="00C40D5E" w:rsidP="00162987">
            <w:pPr>
              <w:spacing w:after="0" w:line="240" w:lineRule="auto"/>
              <w:rPr>
                <w:rFonts w:eastAsia="Times New Roman" w:cstheme="minorHAnsi"/>
                <w:color w:val="000000"/>
              </w:rPr>
            </w:pPr>
            <w:r w:rsidRPr="00CE66BE">
              <w:rPr>
                <w:rFonts w:eastAsia="Times New Roman" w:cstheme="minorHAnsi"/>
                <w:color w:val="000000"/>
              </w:rPr>
              <w:t>Malta</w:t>
            </w:r>
            <w:r w:rsidRPr="00CE66BE">
              <w:rPr>
                <w:rFonts w:cstheme="minorHAnsi"/>
                <w:sz w:val="18"/>
                <w:szCs w:val="18"/>
                <w:lang w:val="en-GB"/>
              </w:rPr>
              <w:t>†</w:t>
            </w:r>
          </w:p>
        </w:tc>
        <w:tc>
          <w:tcPr>
            <w:tcW w:w="1361" w:type="dxa"/>
            <w:tcBorders>
              <w:top w:val="nil"/>
              <w:bottom w:val="nil"/>
            </w:tcBorders>
            <w:shd w:val="clear" w:color="auto" w:fill="auto"/>
            <w:noWrap/>
            <w:vAlign w:val="bottom"/>
          </w:tcPr>
          <w:p w14:paraId="42478CA1" w14:textId="77777777" w:rsidR="00C40D5E" w:rsidRPr="00CE66BE" w:rsidRDefault="00C40D5E" w:rsidP="00162987">
            <w:pPr>
              <w:spacing w:after="0" w:line="240" w:lineRule="auto"/>
              <w:jc w:val="center"/>
              <w:rPr>
                <w:rFonts w:eastAsia="Times New Roman" w:cstheme="minorHAnsi"/>
                <w:color w:val="000000"/>
              </w:rPr>
            </w:pPr>
            <w:r w:rsidRPr="00CE66BE">
              <w:rPr>
                <w:rFonts w:eastAsia="Times New Roman" w:cstheme="minorHAnsi"/>
                <w:color w:val="000000"/>
              </w:rPr>
              <w:t>180</w:t>
            </w:r>
          </w:p>
        </w:tc>
        <w:tc>
          <w:tcPr>
            <w:tcW w:w="1814" w:type="dxa"/>
            <w:tcBorders>
              <w:top w:val="nil"/>
              <w:bottom w:val="nil"/>
            </w:tcBorders>
            <w:shd w:val="clear" w:color="auto" w:fill="auto"/>
            <w:noWrap/>
            <w:vAlign w:val="bottom"/>
          </w:tcPr>
          <w:p w14:paraId="4DEAE550" w14:textId="77777777" w:rsidR="00C40D5E" w:rsidRPr="00CE66BE" w:rsidRDefault="00C40D5E" w:rsidP="00162987">
            <w:pPr>
              <w:spacing w:after="0" w:line="240" w:lineRule="auto"/>
              <w:jc w:val="center"/>
              <w:rPr>
                <w:rFonts w:eastAsia="Times New Roman" w:cstheme="minorHAnsi"/>
                <w:color w:val="000000"/>
              </w:rPr>
            </w:pPr>
            <w:r w:rsidRPr="00CE66BE">
              <w:rPr>
                <w:rFonts w:eastAsia="Times New Roman" w:cstheme="minorHAnsi"/>
                <w:color w:val="000000"/>
              </w:rPr>
              <w:t>1.14</w:t>
            </w:r>
            <w:r>
              <w:rPr>
                <w:rFonts w:eastAsia="Times New Roman" w:cstheme="minorHAnsi"/>
                <w:color w:val="000000"/>
              </w:rPr>
              <w:t xml:space="preserve"> (</w:t>
            </w:r>
            <w:r w:rsidRPr="00CE66BE">
              <w:rPr>
                <w:rFonts w:eastAsia="Times New Roman" w:cstheme="minorHAnsi"/>
                <w:color w:val="000000"/>
              </w:rPr>
              <w:t>0.60</w:t>
            </w:r>
            <w:r>
              <w:rPr>
                <w:rFonts w:eastAsia="Times New Roman" w:cstheme="minorHAnsi"/>
                <w:color w:val="000000"/>
              </w:rPr>
              <w:t xml:space="preserve">, </w:t>
            </w:r>
            <w:r w:rsidRPr="00CE66BE">
              <w:rPr>
                <w:rFonts w:eastAsia="Times New Roman" w:cstheme="minorHAnsi"/>
                <w:color w:val="000000"/>
              </w:rPr>
              <w:t>2.18</w:t>
            </w:r>
            <w:r>
              <w:rPr>
                <w:rFonts w:eastAsia="Times New Roman" w:cstheme="minorHAnsi"/>
                <w:color w:val="000000"/>
              </w:rPr>
              <w:t>)</w:t>
            </w:r>
          </w:p>
        </w:tc>
        <w:tc>
          <w:tcPr>
            <w:tcW w:w="1361" w:type="dxa"/>
            <w:tcBorders>
              <w:top w:val="nil"/>
              <w:bottom w:val="nil"/>
            </w:tcBorders>
            <w:shd w:val="clear" w:color="auto" w:fill="auto"/>
            <w:noWrap/>
            <w:vAlign w:val="bottom"/>
          </w:tcPr>
          <w:p w14:paraId="476C0C52" w14:textId="77777777" w:rsidR="00C40D5E" w:rsidRPr="00CE66BE" w:rsidRDefault="00C40D5E" w:rsidP="00162987">
            <w:pPr>
              <w:spacing w:after="0" w:line="240" w:lineRule="auto"/>
              <w:jc w:val="center"/>
              <w:rPr>
                <w:rFonts w:eastAsia="Times New Roman" w:cstheme="minorHAnsi"/>
                <w:color w:val="000000"/>
              </w:rPr>
            </w:pPr>
            <w:r w:rsidRPr="00CE66BE">
              <w:rPr>
                <w:rFonts w:eastAsia="Times New Roman" w:cstheme="minorHAnsi"/>
                <w:color w:val="000000"/>
              </w:rPr>
              <w:t>143</w:t>
            </w:r>
          </w:p>
        </w:tc>
        <w:tc>
          <w:tcPr>
            <w:tcW w:w="1814" w:type="dxa"/>
            <w:tcBorders>
              <w:top w:val="nil"/>
              <w:bottom w:val="nil"/>
            </w:tcBorders>
            <w:shd w:val="clear" w:color="auto" w:fill="auto"/>
            <w:noWrap/>
            <w:vAlign w:val="bottom"/>
          </w:tcPr>
          <w:p w14:paraId="172192F6" w14:textId="77777777" w:rsidR="00C40D5E" w:rsidRPr="00CE66BE" w:rsidRDefault="00C40D5E" w:rsidP="00162987">
            <w:pPr>
              <w:spacing w:after="0" w:line="240" w:lineRule="auto"/>
              <w:jc w:val="center"/>
              <w:rPr>
                <w:rFonts w:eastAsia="Times New Roman" w:cstheme="minorHAnsi"/>
                <w:color w:val="000000"/>
              </w:rPr>
            </w:pPr>
            <w:r w:rsidRPr="00CE66BE">
              <w:rPr>
                <w:rFonts w:eastAsia="Times New Roman" w:cstheme="minorHAnsi"/>
                <w:color w:val="000000"/>
              </w:rPr>
              <w:t>NC</w:t>
            </w:r>
          </w:p>
        </w:tc>
      </w:tr>
      <w:tr w:rsidR="00C40D5E" w:rsidRPr="00CE66BE" w14:paraId="5BFF7224" w14:textId="77777777" w:rsidTr="00162987">
        <w:trPr>
          <w:trHeight w:val="290"/>
        </w:trPr>
        <w:tc>
          <w:tcPr>
            <w:tcW w:w="2400" w:type="dxa"/>
            <w:tcBorders>
              <w:top w:val="nil"/>
              <w:bottom w:val="nil"/>
            </w:tcBorders>
            <w:shd w:val="clear" w:color="auto" w:fill="auto"/>
            <w:noWrap/>
            <w:vAlign w:val="bottom"/>
          </w:tcPr>
          <w:p w14:paraId="3B715713" w14:textId="77777777" w:rsidR="00C40D5E" w:rsidRPr="00CE66BE" w:rsidRDefault="00C40D5E" w:rsidP="00162987">
            <w:pPr>
              <w:spacing w:after="0" w:line="240" w:lineRule="auto"/>
              <w:rPr>
                <w:rFonts w:eastAsia="Times New Roman" w:cstheme="minorHAnsi"/>
                <w:color w:val="000000"/>
              </w:rPr>
            </w:pPr>
            <w:r w:rsidRPr="00CE66BE">
              <w:rPr>
                <w:rFonts w:eastAsia="Times New Roman" w:cstheme="minorHAnsi"/>
                <w:color w:val="000000"/>
              </w:rPr>
              <w:t xml:space="preserve">Netherlands: </w:t>
            </w:r>
            <w:proofErr w:type="spellStart"/>
            <w:r w:rsidRPr="00CE66BE">
              <w:rPr>
                <w:rFonts w:eastAsia="Times New Roman" w:cstheme="minorHAnsi"/>
                <w:color w:val="000000"/>
              </w:rPr>
              <w:t>Northern</w:t>
            </w:r>
            <w:proofErr w:type="spellEnd"/>
            <w:r w:rsidRPr="00CE66BE">
              <w:rPr>
                <w:rFonts w:cstheme="minorHAnsi"/>
                <w:sz w:val="20"/>
                <w:szCs w:val="20"/>
                <w:lang w:val="en-GB"/>
              </w:rPr>
              <w:t>°</w:t>
            </w:r>
          </w:p>
        </w:tc>
        <w:tc>
          <w:tcPr>
            <w:tcW w:w="1361" w:type="dxa"/>
            <w:tcBorders>
              <w:top w:val="nil"/>
              <w:bottom w:val="nil"/>
            </w:tcBorders>
            <w:shd w:val="clear" w:color="auto" w:fill="auto"/>
            <w:noWrap/>
            <w:vAlign w:val="bottom"/>
          </w:tcPr>
          <w:p w14:paraId="06265623" w14:textId="77777777" w:rsidR="00C40D5E" w:rsidRPr="00CE66BE" w:rsidRDefault="00C40D5E" w:rsidP="00162987">
            <w:pPr>
              <w:spacing w:after="0" w:line="240" w:lineRule="auto"/>
              <w:jc w:val="center"/>
              <w:rPr>
                <w:rFonts w:eastAsia="Times New Roman" w:cstheme="minorHAnsi"/>
                <w:color w:val="000000"/>
              </w:rPr>
            </w:pPr>
            <w:r w:rsidRPr="00CE66BE">
              <w:rPr>
                <w:rFonts w:eastAsia="Times New Roman" w:cstheme="minorHAnsi"/>
                <w:color w:val="000000"/>
              </w:rPr>
              <w:t>555</w:t>
            </w:r>
          </w:p>
        </w:tc>
        <w:tc>
          <w:tcPr>
            <w:tcW w:w="1814" w:type="dxa"/>
            <w:tcBorders>
              <w:top w:val="nil"/>
              <w:bottom w:val="nil"/>
            </w:tcBorders>
            <w:shd w:val="clear" w:color="auto" w:fill="auto"/>
            <w:noWrap/>
            <w:vAlign w:val="bottom"/>
          </w:tcPr>
          <w:p w14:paraId="07C33537" w14:textId="77777777" w:rsidR="00C40D5E" w:rsidRPr="00CE66BE" w:rsidRDefault="00C40D5E" w:rsidP="00162987">
            <w:pPr>
              <w:spacing w:after="0" w:line="240" w:lineRule="auto"/>
              <w:jc w:val="center"/>
              <w:rPr>
                <w:rFonts w:eastAsia="Times New Roman" w:cstheme="minorHAnsi"/>
                <w:color w:val="000000"/>
              </w:rPr>
            </w:pPr>
            <w:r w:rsidRPr="00CE66BE">
              <w:rPr>
                <w:rFonts w:eastAsia="Times New Roman" w:cstheme="minorHAnsi"/>
                <w:color w:val="000000"/>
              </w:rPr>
              <w:t>0.84</w:t>
            </w:r>
            <w:r>
              <w:rPr>
                <w:rFonts w:eastAsia="Times New Roman" w:cstheme="minorHAnsi"/>
                <w:color w:val="000000"/>
              </w:rPr>
              <w:t xml:space="preserve"> (0.56, </w:t>
            </w:r>
            <w:r w:rsidRPr="00CE66BE">
              <w:rPr>
                <w:rFonts w:eastAsia="Times New Roman" w:cstheme="minorHAnsi"/>
                <w:color w:val="000000"/>
              </w:rPr>
              <w:t>1.26</w:t>
            </w:r>
            <w:r>
              <w:rPr>
                <w:rFonts w:eastAsia="Times New Roman" w:cstheme="minorHAnsi"/>
                <w:color w:val="000000"/>
              </w:rPr>
              <w:t>)</w:t>
            </w:r>
          </w:p>
        </w:tc>
        <w:tc>
          <w:tcPr>
            <w:tcW w:w="1361" w:type="dxa"/>
            <w:tcBorders>
              <w:top w:val="nil"/>
              <w:bottom w:val="nil"/>
            </w:tcBorders>
            <w:shd w:val="clear" w:color="auto" w:fill="auto"/>
            <w:noWrap/>
            <w:vAlign w:val="bottom"/>
          </w:tcPr>
          <w:p w14:paraId="66DD30CE" w14:textId="77777777" w:rsidR="00C40D5E" w:rsidRPr="00CE66BE" w:rsidRDefault="00C40D5E" w:rsidP="00162987">
            <w:pPr>
              <w:spacing w:after="0" w:line="240" w:lineRule="auto"/>
              <w:jc w:val="center"/>
              <w:rPr>
                <w:rFonts w:eastAsia="Times New Roman" w:cstheme="minorHAnsi"/>
                <w:color w:val="000000"/>
              </w:rPr>
            </w:pPr>
            <w:r w:rsidRPr="00CE66BE">
              <w:rPr>
                <w:rFonts w:eastAsia="Times New Roman" w:cstheme="minorHAnsi"/>
                <w:color w:val="000000"/>
              </w:rPr>
              <w:t>450</w:t>
            </w:r>
          </w:p>
        </w:tc>
        <w:tc>
          <w:tcPr>
            <w:tcW w:w="1814" w:type="dxa"/>
            <w:tcBorders>
              <w:top w:val="nil"/>
              <w:bottom w:val="nil"/>
            </w:tcBorders>
            <w:shd w:val="clear" w:color="auto" w:fill="auto"/>
            <w:noWrap/>
            <w:vAlign w:val="bottom"/>
          </w:tcPr>
          <w:p w14:paraId="4EA64705" w14:textId="77777777" w:rsidR="00C40D5E" w:rsidRPr="00CE66BE" w:rsidRDefault="00C40D5E" w:rsidP="00162987">
            <w:pPr>
              <w:spacing w:after="0" w:line="240" w:lineRule="auto"/>
              <w:jc w:val="center"/>
              <w:rPr>
                <w:rFonts w:eastAsia="Times New Roman" w:cstheme="minorHAnsi"/>
                <w:color w:val="000000"/>
              </w:rPr>
            </w:pPr>
            <w:r w:rsidRPr="00CE66BE">
              <w:rPr>
                <w:rFonts w:eastAsia="Times New Roman" w:cstheme="minorHAnsi"/>
                <w:color w:val="000000"/>
              </w:rPr>
              <w:t>2.40</w:t>
            </w:r>
            <w:r>
              <w:rPr>
                <w:rFonts w:eastAsia="Times New Roman" w:cstheme="minorHAnsi"/>
                <w:color w:val="000000"/>
              </w:rPr>
              <w:t xml:space="preserve"> (0.83, </w:t>
            </w:r>
            <w:r w:rsidRPr="00CE66BE">
              <w:rPr>
                <w:rFonts w:eastAsia="Times New Roman" w:cstheme="minorHAnsi"/>
                <w:color w:val="000000"/>
              </w:rPr>
              <w:t>6.93</w:t>
            </w:r>
            <w:r>
              <w:rPr>
                <w:rFonts w:eastAsia="Times New Roman" w:cstheme="minorHAnsi"/>
                <w:color w:val="000000"/>
              </w:rPr>
              <w:t>)</w:t>
            </w:r>
          </w:p>
        </w:tc>
      </w:tr>
      <w:tr w:rsidR="00C40D5E" w:rsidRPr="00CE66BE" w14:paraId="62B7C8A8" w14:textId="77777777" w:rsidTr="00162987">
        <w:trPr>
          <w:trHeight w:val="290"/>
        </w:trPr>
        <w:tc>
          <w:tcPr>
            <w:tcW w:w="2400" w:type="dxa"/>
            <w:tcBorders>
              <w:top w:val="nil"/>
              <w:bottom w:val="nil"/>
            </w:tcBorders>
            <w:shd w:val="clear" w:color="auto" w:fill="auto"/>
            <w:noWrap/>
            <w:vAlign w:val="bottom"/>
          </w:tcPr>
          <w:p w14:paraId="71CABB6C" w14:textId="77777777" w:rsidR="00C40D5E" w:rsidRPr="00CE66BE" w:rsidRDefault="00C40D5E" w:rsidP="00162987">
            <w:pPr>
              <w:spacing w:after="0" w:line="240" w:lineRule="auto"/>
              <w:rPr>
                <w:rFonts w:eastAsia="Times New Roman" w:cstheme="minorHAnsi"/>
                <w:color w:val="000000"/>
              </w:rPr>
            </w:pPr>
            <w:proofErr w:type="spellStart"/>
            <w:r w:rsidRPr="00CE66BE">
              <w:rPr>
                <w:rFonts w:eastAsia="Times New Roman" w:cstheme="minorHAnsi"/>
                <w:color w:val="000000"/>
              </w:rPr>
              <w:t>Norway</w:t>
            </w:r>
            <w:proofErr w:type="spellEnd"/>
            <w:r w:rsidRPr="00CE66BE">
              <w:rPr>
                <w:rFonts w:cstheme="minorHAnsi"/>
                <w:sz w:val="20"/>
                <w:szCs w:val="20"/>
                <w:vertAlign w:val="superscript"/>
                <w:lang w:val="en-GB"/>
              </w:rPr>
              <w:t>§</w:t>
            </w:r>
          </w:p>
        </w:tc>
        <w:tc>
          <w:tcPr>
            <w:tcW w:w="1361" w:type="dxa"/>
            <w:tcBorders>
              <w:top w:val="nil"/>
              <w:bottom w:val="nil"/>
            </w:tcBorders>
            <w:shd w:val="clear" w:color="auto" w:fill="auto"/>
            <w:noWrap/>
            <w:vAlign w:val="bottom"/>
          </w:tcPr>
          <w:p w14:paraId="0985111A" w14:textId="77777777" w:rsidR="00C40D5E" w:rsidRPr="00CE66BE" w:rsidRDefault="00C40D5E" w:rsidP="00162987">
            <w:pPr>
              <w:spacing w:after="0" w:line="240" w:lineRule="auto"/>
              <w:jc w:val="center"/>
              <w:rPr>
                <w:rFonts w:eastAsia="Times New Roman" w:cstheme="minorHAnsi"/>
                <w:color w:val="000000"/>
              </w:rPr>
            </w:pPr>
            <w:r w:rsidRPr="00CE66BE">
              <w:rPr>
                <w:rFonts w:eastAsia="Times New Roman" w:cstheme="minorHAnsi"/>
                <w:color w:val="000000"/>
              </w:rPr>
              <w:t>1,221</w:t>
            </w:r>
          </w:p>
        </w:tc>
        <w:tc>
          <w:tcPr>
            <w:tcW w:w="1814" w:type="dxa"/>
            <w:tcBorders>
              <w:top w:val="nil"/>
              <w:bottom w:val="nil"/>
            </w:tcBorders>
            <w:shd w:val="clear" w:color="auto" w:fill="auto"/>
            <w:noWrap/>
            <w:vAlign w:val="bottom"/>
          </w:tcPr>
          <w:p w14:paraId="50EDD774" w14:textId="77777777" w:rsidR="00C40D5E" w:rsidRPr="00CE66BE" w:rsidRDefault="00C40D5E" w:rsidP="00162987">
            <w:pPr>
              <w:spacing w:after="0" w:line="240" w:lineRule="auto"/>
              <w:jc w:val="center"/>
              <w:rPr>
                <w:rFonts w:eastAsia="Times New Roman" w:cstheme="minorHAnsi"/>
                <w:color w:val="000000"/>
              </w:rPr>
            </w:pPr>
            <w:r w:rsidRPr="00CE66BE">
              <w:rPr>
                <w:rFonts w:eastAsia="Times New Roman" w:cstheme="minorHAnsi"/>
                <w:color w:val="000000"/>
              </w:rPr>
              <w:t>0.46</w:t>
            </w:r>
            <w:r>
              <w:rPr>
                <w:rFonts w:eastAsia="Times New Roman" w:cstheme="minorHAnsi"/>
                <w:color w:val="000000"/>
              </w:rPr>
              <w:t xml:space="preserve"> (0.34, </w:t>
            </w:r>
            <w:r w:rsidRPr="00CE66BE">
              <w:rPr>
                <w:rFonts w:eastAsia="Times New Roman" w:cstheme="minorHAnsi"/>
                <w:color w:val="000000"/>
              </w:rPr>
              <w:t>0.63</w:t>
            </w:r>
            <w:r>
              <w:rPr>
                <w:rFonts w:eastAsia="Times New Roman" w:cstheme="minorHAnsi"/>
                <w:color w:val="000000"/>
              </w:rPr>
              <w:t>)</w:t>
            </w:r>
          </w:p>
        </w:tc>
        <w:tc>
          <w:tcPr>
            <w:tcW w:w="1361" w:type="dxa"/>
            <w:tcBorders>
              <w:top w:val="nil"/>
              <w:bottom w:val="nil"/>
            </w:tcBorders>
            <w:shd w:val="clear" w:color="auto" w:fill="auto"/>
            <w:noWrap/>
            <w:vAlign w:val="bottom"/>
          </w:tcPr>
          <w:p w14:paraId="4F6F6225" w14:textId="77777777" w:rsidR="00C40D5E" w:rsidRPr="00CE66BE" w:rsidRDefault="00C40D5E" w:rsidP="00162987">
            <w:pPr>
              <w:spacing w:after="0" w:line="240" w:lineRule="auto"/>
              <w:jc w:val="center"/>
              <w:rPr>
                <w:rFonts w:eastAsia="Times New Roman" w:cstheme="minorHAnsi"/>
                <w:color w:val="000000"/>
              </w:rPr>
            </w:pPr>
            <w:r w:rsidRPr="00CE66BE">
              <w:rPr>
                <w:rFonts w:eastAsia="Times New Roman" w:cstheme="minorHAnsi"/>
                <w:color w:val="000000"/>
              </w:rPr>
              <w:t>1,058</w:t>
            </w:r>
          </w:p>
        </w:tc>
        <w:tc>
          <w:tcPr>
            <w:tcW w:w="1814" w:type="dxa"/>
            <w:tcBorders>
              <w:top w:val="nil"/>
              <w:bottom w:val="nil"/>
            </w:tcBorders>
            <w:shd w:val="clear" w:color="auto" w:fill="auto"/>
            <w:noWrap/>
            <w:vAlign w:val="bottom"/>
          </w:tcPr>
          <w:p w14:paraId="7F14F995" w14:textId="77777777" w:rsidR="00C40D5E" w:rsidRPr="00CE66BE" w:rsidRDefault="00C40D5E" w:rsidP="00162987">
            <w:pPr>
              <w:spacing w:after="0" w:line="240" w:lineRule="auto"/>
              <w:jc w:val="center"/>
              <w:rPr>
                <w:rFonts w:eastAsia="Times New Roman" w:cstheme="minorHAnsi"/>
                <w:color w:val="000000"/>
              </w:rPr>
            </w:pPr>
            <w:r w:rsidRPr="00CE66BE">
              <w:rPr>
                <w:rFonts w:eastAsia="Times New Roman" w:cstheme="minorHAnsi"/>
                <w:color w:val="000000"/>
              </w:rPr>
              <w:t>1.22</w:t>
            </w:r>
            <w:r>
              <w:rPr>
                <w:rFonts w:eastAsia="Times New Roman" w:cstheme="minorHAnsi"/>
                <w:color w:val="000000"/>
              </w:rPr>
              <w:t xml:space="preserve"> (0.48, </w:t>
            </w:r>
            <w:r w:rsidRPr="00CE66BE">
              <w:rPr>
                <w:rFonts w:eastAsia="Times New Roman" w:cstheme="minorHAnsi"/>
                <w:color w:val="000000"/>
              </w:rPr>
              <w:t>3.11</w:t>
            </w:r>
            <w:r>
              <w:rPr>
                <w:rFonts w:eastAsia="Times New Roman" w:cstheme="minorHAnsi"/>
                <w:color w:val="000000"/>
              </w:rPr>
              <w:t>)</w:t>
            </w:r>
          </w:p>
        </w:tc>
      </w:tr>
      <w:tr w:rsidR="00C40D5E" w:rsidRPr="00CE66BE" w14:paraId="359585F8" w14:textId="77777777" w:rsidTr="00162987">
        <w:trPr>
          <w:trHeight w:val="290"/>
        </w:trPr>
        <w:tc>
          <w:tcPr>
            <w:tcW w:w="2400" w:type="dxa"/>
            <w:tcBorders>
              <w:top w:val="nil"/>
              <w:bottom w:val="nil"/>
            </w:tcBorders>
            <w:shd w:val="clear" w:color="auto" w:fill="auto"/>
            <w:noWrap/>
            <w:vAlign w:val="bottom"/>
          </w:tcPr>
          <w:p w14:paraId="3F99B4DD" w14:textId="77777777" w:rsidR="00C40D5E" w:rsidRPr="00CE66BE" w:rsidRDefault="00C40D5E" w:rsidP="00162987">
            <w:pPr>
              <w:spacing w:after="0" w:line="240" w:lineRule="auto"/>
              <w:rPr>
                <w:rFonts w:eastAsia="Times New Roman" w:cstheme="minorHAnsi"/>
                <w:color w:val="000000"/>
              </w:rPr>
            </w:pPr>
            <w:proofErr w:type="spellStart"/>
            <w:r w:rsidRPr="00CE66BE">
              <w:rPr>
                <w:rFonts w:eastAsia="Times New Roman" w:cstheme="minorHAnsi"/>
                <w:color w:val="000000"/>
              </w:rPr>
              <w:t>Spain</w:t>
            </w:r>
            <w:proofErr w:type="spellEnd"/>
            <w:r w:rsidRPr="00CE66BE">
              <w:rPr>
                <w:rFonts w:eastAsia="Times New Roman" w:cstheme="minorHAnsi"/>
                <w:color w:val="000000"/>
              </w:rPr>
              <w:t xml:space="preserve">: </w:t>
            </w:r>
            <w:proofErr w:type="spellStart"/>
            <w:r w:rsidRPr="00CE66BE">
              <w:rPr>
                <w:rFonts w:eastAsia="Times New Roman" w:cstheme="minorHAnsi"/>
                <w:color w:val="000000"/>
              </w:rPr>
              <w:t>Basque</w:t>
            </w:r>
            <w:proofErr w:type="spellEnd"/>
            <w:r w:rsidRPr="00CE66BE">
              <w:rPr>
                <w:rFonts w:eastAsia="Times New Roman" w:cstheme="minorHAnsi"/>
                <w:color w:val="000000"/>
              </w:rPr>
              <w:t xml:space="preserve"> Country</w:t>
            </w:r>
          </w:p>
        </w:tc>
        <w:tc>
          <w:tcPr>
            <w:tcW w:w="1361" w:type="dxa"/>
            <w:tcBorders>
              <w:top w:val="nil"/>
              <w:bottom w:val="nil"/>
            </w:tcBorders>
            <w:shd w:val="clear" w:color="auto" w:fill="auto"/>
            <w:noWrap/>
            <w:vAlign w:val="bottom"/>
          </w:tcPr>
          <w:p w14:paraId="06BC6857" w14:textId="77777777" w:rsidR="00C40D5E" w:rsidRPr="00CE66BE" w:rsidRDefault="00C40D5E" w:rsidP="00162987">
            <w:pPr>
              <w:spacing w:after="0" w:line="240" w:lineRule="auto"/>
              <w:jc w:val="center"/>
              <w:rPr>
                <w:rFonts w:eastAsia="Times New Roman" w:cstheme="minorHAnsi"/>
                <w:color w:val="000000"/>
              </w:rPr>
            </w:pPr>
            <w:r w:rsidRPr="00CE66BE">
              <w:rPr>
                <w:rFonts w:eastAsia="Times New Roman" w:cstheme="minorHAnsi"/>
                <w:color w:val="000000"/>
              </w:rPr>
              <w:t>500</w:t>
            </w:r>
          </w:p>
        </w:tc>
        <w:tc>
          <w:tcPr>
            <w:tcW w:w="1814" w:type="dxa"/>
            <w:tcBorders>
              <w:top w:val="nil"/>
              <w:bottom w:val="nil"/>
            </w:tcBorders>
            <w:shd w:val="clear" w:color="auto" w:fill="auto"/>
            <w:noWrap/>
            <w:vAlign w:val="bottom"/>
          </w:tcPr>
          <w:p w14:paraId="04FB9438" w14:textId="77777777" w:rsidR="00C40D5E" w:rsidRPr="00CE66BE" w:rsidRDefault="00C40D5E" w:rsidP="00162987">
            <w:pPr>
              <w:spacing w:after="0" w:line="240" w:lineRule="auto"/>
              <w:jc w:val="center"/>
              <w:rPr>
                <w:rFonts w:eastAsia="Times New Roman" w:cstheme="minorHAnsi"/>
                <w:color w:val="000000"/>
              </w:rPr>
            </w:pPr>
            <w:r w:rsidRPr="00CE66BE">
              <w:rPr>
                <w:rFonts w:eastAsia="Times New Roman" w:cstheme="minorHAnsi"/>
                <w:color w:val="000000"/>
              </w:rPr>
              <w:t>0.41</w:t>
            </w:r>
            <w:r>
              <w:rPr>
                <w:rFonts w:eastAsia="Times New Roman" w:cstheme="minorHAnsi"/>
                <w:color w:val="000000"/>
              </w:rPr>
              <w:t xml:space="preserve"> (0.28, </w:t>
            </w:r>
            <w:r w:rsidRPr="00CE66BE">
              <w:rPr>
                <w:rFonts w:eastAsia="Times New Roman" w:cstheme="minorHAnsi"/>
                <w:color w:val="000000"/>
              </w:rPr>
              <w:t>0.62</w:t>
            </w:r>
            <w:r>
              <w:rPr>
                <w:rFonts w:eastAsia="Times New Roman" w:cstheme="minorHAnsi"/>
                <w:color w:val="000000"/>
              </w:rPr>
              <w:t>)</w:t>
            </w:r>
          </w:p>
        </w:tc>
        <w:tc>
          <w:tcPr>
            <w:tcW w:w="1361" w:type="dxa"/>
            <w:tcBorders>
              <w:top w:val="nil"/>
              <w:bottom w:val="nil"/>
            </w:tcBorders>
            <w:shd w:val="clear" w:color="auto" w:fill="auto"/>
            <w:noWrap/>
            <w:vAlign w:val="bottom"/>
          </w:tcPr>
          <w:p w14:paraId="4271EE2D" w14:textId="77777777" w:rsidR="00C40D5E" w:rsidRPr="00CE66BE" w:rsidRDefault="00C40D5E" w:rsidP="00162987">
            <w:pPr>
              <w:spacing w:after="0" w:line="240" w:lineRule="auto"/>
              <w:jc w:val="center"/>
              <w:rPr>
                <w:rFonts w:eastAsia="Times New Roman" w:cstheme="minorHAnsi"/>
                <w:color w:val="000000"/>
              </w:rPr>
            </w:pPr>
            <w:r w:rsidRPr="00CE66BE">
              <w:rPr>
                <w:rFonts w:eastAsia="Times New Roman" w:cstheme="minorHAnsi"/>
                <w:color w:val="000000"/>
              </w:rPr>
              <w:t>394</w:t>
            </w:r>
          </w:p>
        </w:tc>
        <w:tc>
          <w:tcPr>
            <w:tcW w:w="1814" w:type="dxa"/>
            <w:tcBorders>
              <w:top w:val="nil"/>
              <w:bottom w:val="nil"/>
            </w:tcBorders>
            <w:shd w:val="clear" w:color="auto" w:fill="auto"/>
            <w:noWrap/>
            <w:vAlign w:val="bottom"/>
          </w:tcPr>
          <w:p w14:paraId="27CB1947" w14:textId="77777777" w:rsidR="00C40D5E" w:rsidRPr="00CE66BE" w:rsidRDefault="00C40D5E" w:rsidP="00162987">
            <w:pPr>
              <w:spacing w:after="0" w:line="240" w:lineRule="auto"/>
              <w:jc w:val="center"/>
              <w:rPr>
                <w:rFonts w:eastAsia="Times New Roman" w:cstheme="minorHAnsi"/>
                <w:color w:val="000000"/>
              </w:rPr>
            </w:pPr>
            <w:r w:rsidRPr="00CE66BE">
              <w:rPr>
                <w:rFonts w:eastAsia="Times New Roman" w:cstheme="minorHAnsi"/>
                <w:color w:val="000000"/>
              </w:rPr>
              <w:t>0.26</w:t>
            </w:r>
            <w:r>
              <w:rPr>
                <w:rFonts w:eastAsia="Times New Roman" w:cstheme="minorHAnsi"/>
                <w:color w:val="000000"/>
              </w:rPr>
              <w:t xml:space="preserve"> (</w:t>
            </w:r>
            <w:r w:rsidRPr="00CE66BE">
              <w:rPr>
                <w:rFonts w:eastAsia="Times New Roman" w:cstheme="minorHAnsi"/>
                <w:color w:val="000000"/>
              </w:rPr>
              <w:t>0.07</w:t>
            </w:r>
            <w:r>
              <w:rPr>
                <w:rFonts w:eastAsia="Times New Roman" w:cstheme="minorHAnsi"/>
                <w:color w:val="000000"/>
              </w:rPr>
              <w:t xml:space="preserve">, </w:t>
            </w:r>
            <w:r w:rsidRPr="00CE66BE">
              <w:rPr>
                <w:rFonts w:eastAsia="Times New Roman" w:cstheme="minorHAnsi"/>
                <w:color w:val="000000"/>
              </w:rPr>
              <w:t>0.95</w:t>
            </w:r>
            <w:r>
              <w:rPr>
                <w:rFonts w:eastAsia="Times New Roman" w:cstheme="minorHAnsi"/>
                <w:color w:val="000000"/>
              </w:rPr>
              <w:t>)</w:t>
            </w:r>
          </w:p>
        </w:tc>
      </w:tr>
      <w:tr w:rsidR="00C40D5E" w:rsidRPr="00CE66BE" w14:paraId="740936F5" w14:textId="77777777" w:rsidTr="00162987">
        <w:trPr>
          <w:trHeight w:val="290"/>
        </w:trPr>
        <w:tc>
          <w:tcPr>
            <w:tcW w:w="2400" w:type="dxa"/>
            <w:tcBorders>
              <w:top w:val="nil"/>
              <w:bottom w:val="nil"/>
            </w:tcBorders>
            <w:shd w:val="clear" w:color="auto" w:fill="auto"/>
            <w:noWrap/>
            <w:vAlign w:val="bottom"/>
          </w:tcPr>
          <w:p w14:paraId="44415861" w14:textId="77777777" w:rsidR="00C40D5E" w:rsidRPr="00CE66BE" w:rsidRDefault="00C40D5E" w:rsidP="00162987">
            <w:pPr>
              <w:spacing w:after="0" w:line="240" w:lineRule="auto"/>
              <w:rPr>
                <w:rFonts w:eastAsia="Times New Roman" w:cstheme="minorHAnsi"/>
                <w:color w:val="000000"/>
              </w:rPr>
            </w:pPr>
            <w:r w:rsidRPr="00CE66BE">
              <w:rPr>
                <w:rFonts w:eastAsia="Times New Roman" w:cstheme="minorHAnsi"/>
                <w:color w:val="000000"/>
              </w:rPr>
              <w:t>UK: Wales</w:t>
            </w:r>
          </w:p>
        </w:tc>
        <w:tc>
          <w:tcPr>
            <w:tcW w:w="1361" w:type="dxa"/>
            <w:tcBorders>
              <w:top w:val="nil"/>
              <w:bottom w:val="nil"/>
            </w:tcBorders>
            <w:shd w:val="clear" w:color="auto" w:fill="auto"/>
            <w:noWrap/>
            <w:vAlign w:val="bottom"/>
          </w:tcPr>
          <w:p w14:paraId="19E8608D" w14:textId="77777777" w:rsidR="00C40D5E" w:rsidRPr="00CE66BE" w:rsidRDefault="00C40D5E" w:rsidP="00162987">
            <w:pPr>
              <w:spacing w:after="0" w:line="240" w:lineRule="auto"/>
              <w:jc w:val="center"/>
              <w:rPr>
                <w:rFonts w:eastAsia="Times New Roman" w:cstheme="minorHAnsi"/>
                <w:color w:val="000000"/>
              </w:rPr>
            </w:pPr>
            <w:r w:rsidRPr="00CE66BE">
              <w:rPr>
                <w:rFonts w:eastAsia="Times New Roman" w:cstheme="minorHAnsi"/>
                <w:color w:val="000000"/>
              </w:rPr>
              <w:t>968</w:t>
            </w:r>
          </w:p>
        </w:tc>
        <w:tc>
          <w:tcPr>
            <w:tcW w:w="1814" w:type="dxa"/>
            <w:tcBorders>
              <w:top w:val="nil"/>
              <w:bottom w:val="nil"/>
            </w:tcBorders>
            <w:shd w:val="clear" w:color="auto" w:fill="auto"/>
            <w:noWrap/>
            <w:vAlign w:val="bottom"/>
          </w:tcPr>
          <w:p w14:paraId="02CCB680" w14:textId="77777777" w:rsidR="00C40D5E" w:rsidRPr="00CE66BE" w:rsidRDefault="00C40D5E" w:rsidP="00162987">
            <w:pPr>
              <w:spacing w:after="0" w:line="240" w:lineRule="auto"/>
              <w:jc w:val="center"/>
              <w:rPr>
                <w:rFonts w:eastAsia="Times New Roman" w:cstheme="minorHAnsi"/>
                <w:color w:val="000000"/>
              </w:rPr>
            </w:pPr>
            <w:r w:rsidRPr="00CE66BE">
              <w:rPr>
                <w:rFonts w:eastAsia="Times New Roman" w:cstheme="minorHAnsi"/>
                <w:color w:val="000000"/>
              </w:rPr>
              <w:t>0.74</w:t>
            </w:r>
            <w:r>
              <w:rPr>
                <w:rFonts w:eastAsia="Times New Roman" w:cstheme="minorHAnsi"/>
                <w:color w:val="000000"/>
              </w:rPr>
              <w:t xml:space="preserve"> (0.50, </w:t>
            </w:r>
            <w:r w:rsidRPr="00CE66BE">
              <w:rPr>
                <w:rFonts w:eastAsia="Times New Roman" w:cstheme="minorHAnsi"/>
                <w:color w:val="000000"/>
              </w:rPr>
              <w:t>1.09</w:t>
            </w:r>
            <w:r>
              <w:rPr>
                <w:rFonts w:eastAsia="Times New Roman" w:cstheme="minorHAnsi"/>
                <w:color w:val="000000"/>
              </w:rPr>
              <w:t>)</w:t>
            </w:r>
          </w:p>
        </w:tc>
        <w:tc>
          <w:tcPr>
            <w:tcW w:w="1361" w:type="dxa"/>
            <w:tcBorders>
              <w:top w:val="nil"/>
              <w:bottom w:val="nil"/>
            </w:tcBorders>
            <w:shd w:val="clear" w:color="auto" w:fill="auto"/>
            <w:noWrap/>
            <w:vAlign w:val="bottom"/>
          </w:tcPr>
          <w:p w14:paraId="02820599" w14:textId="77777777" w:rsidR="00C40D5E" w:rsidRPr="00CE66BE" w:rsidRDefault="00C40D5E" w:rsidP="00162987">
            <w:pPr>
              <w:spacing w:after="0" w:line="240" w:lineRule="auto"/>
              <w:jc w:val="center"/>
              <w:rPr>
                <w:rFonts w:eastAsia="Times New Roman" w:cstheme="minorHAnsi"/>
                <w:color w:val="000000"/>
              </w:rPr>
            </w:pPr>
            <w:r w:rsidRPr="00CE66BE">
              <w:rPr>
                <w:rFonts w:eastAsia="Times New Roman" w:cstheme="minorHAnsi"/>
                <w:color w:val="000000"/>
              </w:rPr>
              <w:t>843</w:t>
            </w:r>
          </w:p>
        </w:tc>
        <w:tc>
          <w:tcPr>
            <w:tcW w:w="1814" w:type="dxa"/>
            <w:tcBorders>
              <w:top w:val="nil"/>
              <w:bottom w:val="nil"/>
            </w:tcBorders>
            <w:shd w:val="clear" w:color="auto" w:fill="auto"/>
            <w:noWrap/>
            <w:vAlign w:val="bottom"/>
          </w:tcPr>
          <w:p w14:paraId="511D81CB" w14:textId="77777777" w:rsidR="00C40D5E" w:rsidRPr="00CE66BE" w:rsidRDefault="00C40D5E" w:rsidP="00162987">
            <w:pPr>
              <w:spacing w:after="0" w:line="240" w:lineRule="auto"/>
              <w:jc w:val="center"/>
              <w:rPr>
                <w:rFonts w:eastAsia="Times New Roman" w:cstheme="minorHAnsi"/>
                <w:color w:val="000000"/>
              </w:rPr>
            </w:pPr>
            <w:r w:rsidRPr="00CE66BE">
              <w:rPr>
                <w:rFonts w:eastAsia="Times New Roman" w:cstheme="minorHAnsi"/>
                <w:color w:val="000000"/>
              </w:rPr>
              <w:t>0.61</w:t>
            </w:r>
            <w:r>
              <w:rPr>
                <w:rFonts w:eastAsia="Times New Roman" w:cstheme="minorHAnsi"/>
                <w:color w:val="000000"/>
              </w:rPr>
              <w:t xml:space="preserve"> (</w:t>
            </w:r>
            <w:r w:rsidRPr="00CE66BE">
              <w:rPr>
                <w:rFonts w:eastAsia="Times New Roman" w:cstheme="minorHAnsi"/>
                <w:color w:val="000000"/>
              </w:rPr>
              <w:t>0.2</w:t>
            </w:r>
            <w:r>
              <w:rPr>
                <w:rFonts w:eastAsia="Times New Roman" w:cstheme="minorHAnsi"/>
                <w:color w:val="000000"/>
              </w:rPr>
              <w:t xml:space="preserve">2, </w:t>
            </w:r>
            <w:r w:rsidRPr="00CE66BE">
              <w:rPr>
                <w:rFonts w:eastAsia="Times New Roman" w:cstheme="minorHAnsi"/>
                <w:color w:val="000000"/>
              </w:rPr>
              <w:t>1.69</w:t>
            </w:r>
            <w:r>
              <w:rPr>
                <w:rFonts w:eastAsia="Times New Roman" w:cstheme="minorHAnsi"/>
                <w:color w:val="000000"/>
              </w:rPr>
              <w:t>)</w:t>
            </w:r>
          </w:p>
        </w:tc>
      </w:tr>
      <w:tr w:rsidR="00C40D5E" w:rsidRPr="00CE66BE" w14:paraId="0D86FA5B" w14:textId="77777777" w:rsidTr="00162987">
        <w:trPr>
          <w:trHeight w:val="290"/>
        </w:trPr>
        <w:tc>
          <w:tcPr>
            <w:tcW w:w="2400" w:type="dxa"/>
            <w:tcBorders>
              <w:top w:val="nil"/>
              <w:bottom w:val="single" w:sz="4" w:space="0" w:color="auto"/>
            </w:tcBorders>
            <w:shd w:val="clear" w:color="auto" w:fill="auto"/>
            <w:noWrap/>
            <w:vAlign w:val="bottom"/>
          </w:tcPr>
          <w:p w14:paraId="208E54FC" w14:textId="77777777" w:rsidR="00C40D5E" w:rsidRPr="0005255B" w:rsidRDefault="00C40D5E" w:rsidP="00162987">
            <w:pPr>
              <w:spacing w:before="120" w:after="0" w:line="240" w:lineRule="auto"/>
              <w:rPr>
                <w:rFonts w:eastAsia="Times New Roman" w:cstheme="minorHAnsi"/>
                <w:color w:val="000000"/>
              </w:rPr>
            </w:pPr>
            <w:r w:rsidRPr="0005255B">
              <w:rPr>
                <w:rFonts w:eastAsia="Times New Roman" w:cstheme="minorHAnsi"/>
                <w:color w:val="000000"/>
              </w:rPr>
              <w:t>Total</w:t>
            </w:r>
          </w:p>
        </w:tc>
        <w:tc>
          <w:tcPr>
            <w:tcW w:w="1361" w:type="dxa"/>
            <w:tcBorders>
              <w:top w:val="nil"/>
              <w:bottom w:val="single" w:sz="4" w:space="0" w:color="auto"/>
            </w:tcBorders>
            <w:shd w:val="clear" w:color="auto" w:fill="auto"/>
            <w:noWrap/>
            <w:vAlign w:val="bottom"/>
          </w:tcPr>
          <w:p w14:paraId="0F5F0451" w14:textId="77777777" w:rsidR="00C40D5E" w:rsidRPr="0005255B" w:rsidRDefault="00C40D5E" w:rsidP="00162987">
            <w:pPr>
              <w:spacing w:before="120" w:after="0" w:line="240" w:lineRule="auto"/>
              <w:jc w:val="center"/>
              <w:rPr>
                <w:rFonts w:eastAsia="Times New Roman" w:cstheme="minorHAnsi"/>
                <w:color w:val="000000"/>
              </w:rPr>
            </w:pPr>
            <w:r w:rsidRPr="0005255B">
              <w:rPr>
                <w:rFonts w:eastAsia="Times New Roman" w:cstheme="minorHAnsi"/>
                <w:color w:val="000000"/>
              </w:rPr>
              <w:t>6,976</w:t>
            </w:r>
          </w:p>
        </w:tc>
        <w:tc>
          <w:tcPr>
            <w:tcW w:w="1814" w:type="dxa"/>
            <w:tcBorders>
              <w:top w:val="nil"/>
              <w:bottom w:val="single" w:sz="4" w:space="0" w:color="auto"/>
            </w:tcBorders>
            <w:shd w:val="clear" w:color="auto" w:fill="auto"/>
            <w:noWrap/>
            <w:vAlign w:val="bottom"/>
          </w:tcPr>
          <w:p w14:paraId="4B3556D1" w14:textId="77777777" w:rsidR="00C40D5E" w:rsidRPr="0005255B" w:rsidRDefault="00C40D5E" w:rsidP="00162987">
            <w:pPr>
              <w:spacing w:before="120" w:after="0" w:line="240" w:lineRule="auto"/>
              <w:jc w:val="center"/>
              <w:rPr>
                <w:rFonts w:eastAsia="Times New Roman" w:cstheme="minorHAnsi"/>
                <w:color w:val="000000"/>
                <w:lang w:val="en-GB"/>
              </w:rPr>
            </w:pPr>
            <w:r w:rsidRPr="0005255B">
              <w:rPr>
                <w:rFonts w:eastAsia="Times New Roman" w:cstheme="minorHAnsi"/>
                <w:color w:val="000000"/>
                <w:lang w:val="en-GB"/>
              </w:rPr>
              <w:t>0.59 (0.46, 0.74)</w:t>
            </w:r>
          </w:p>
        </w:tc>
        <w:tc>
          <w:tcPr>
            <w:tcW w:w="1361" w:type="dxa"/>
            <w:tcBorders>
              <w:top w:val="nil"/>
              <w:bottom w:val="single" w:sz="4" w:space="0" w:color="auto"/>
            </w:tcBorders>
            <w:shd w:val="clear" w:color="auto" w:fill="auto"/>
            <w:noWrap/>
            <w:vAlign w:val="bottom"/>
          </w:tcPr>
          <w:p w14:paraId="58505D07" w14:textId="77777777" w:rsidR="00C40D5E" w:rsidRPr="0005255B" w:rsidRDefault="00C40D5E" w:rsidP="00162987">
            <w:pPr>
              <w:spacing w:before="120" w:after="0" w:line="240" w:lineRule="auto"/>
              <w:jc w:val="center"/>
              <w:rPr>
                <w:rFonts w:eastAsia="Times New Roman" w:cstheme="minorHAnsi"/>
                <w:color w:val="000000"/>
                <w:lang w:val="en-GB"/>
              </w:rPr>
            </w:pPr>
            <w:r w:rsidRPr="0005255B">
              <w:rPr>
                <w:rFonts w:eastAsia="Times New Roman" w:cstheme="minorHAnsi"/>
                <w:color w:val="000000"/>
                <w:lang w:val="en-GB"/>
              </w:rPr>
              <w:t>5,634</w:t>
            </w:r>
          </w:p>
        </w:tc>
        <w:tc>
          <w:tcPr>
            <w:tcW w:w="1814" w:type="dxa"/>
            <w:tcBorders>
              <w:top w:val="nil"/>
              <w:bottom w:val="single" w:sz="4" w:space="0" w:color="auto"/>
            </w:tcBorders>
            <w:shd w:val="clear" w:color="auto" w:fill="auto"/>
            <w:noWrap/>
            <w:vAlign w:val="bottom"/>
          </w:tcPr>
          <w:p w14:paraId="1E0DABDD" w14:textId="77777777" w:rsidR="00C40D5E" w:rsidRPr="0005255B" w:rsidRDefault="00C40D5E" w:rsidP="00162987">
            <w:pPr>
              <w:spacing w:before="120" w:after="0" w:line="240" w:lineRule="auto"/>
              <w:jc w:val="center"/>
              <w:rPr>
                <w:rFonts w:eastAsia="Times New Roman" w:cstheme="minorHAnsi"/>
                <w:color w:val="000000"/>
                <w:lang w:val="en-GB"/>
              </w:rPr>
            </w:pPr>
            <w:r w:rsidRPr="0005255B">
              <w:rPr>
                <w:rFonts w:eastAsia="Times New Roman" w:cstheme="minorHAnsi"/>
                <w:color w:val="000000"/>
                <w:lang w:val="en-GB"/>
              </w:rPr>
              <w:t>0.72 (0.37, 1.41)</w:t>
            </w:r>
          </w:p>
        </w:tc>
      </w:tr>
    </w:tbl>
    <w:p w14:paraId="519579C8" w14:textId="77777777" w:rsidR="00C40D5E" w:rsidRPr="00E76091" w:rsidRDefault="00C40D5E" w:rsidP="00C40D5E">
      <w:pPr>
        <w:spacing w:after="0" w:line="240" w:lineRule="auto"/>
        <w:rPr>
          <w:rFonts w:cstheme="minorHAnsi"/>
          <w:sz w:val="18"/>
          <w:szCs w:val="18"/>
          <w:lang w:val="en-GB"/>
        </w:rPr>
      </w:pPr>
      <w:r w:rsidRPr="00E76091">
        <w:rPr>
          <w:rFonts w:cstheme="minorHAnsi"/>
          <w:sz w:val="20"/>
          <w:szCs w:val="20"/>
          <w:lang w:val="en-GB"/>
        </w:rPr>
        <w:t>*</w:t>
      </w:r>
      <w:r w:rsidRPr="00E76091">
        <w:rPr>
          <w:rFonts w:cstheme="minorHAnsi"/>
          <w:sz w:val="18"/>
          <w:szCs w:val="18"/>
          <w:lang w:val="en-GB"/>
        </w:rPr>
        <w:t>Only registries with data available for 1995-2014 were included in this table.</w:t>
      </w:r>
    </w:p>
    <w:p w14:paraId="6E6DD62E" w14:textId="77777777" w:rsidR="00C40D5E" w:rsidRDefault="00C40D5E" w:rsidP="00C40D5E">
      <w:pPr>
        <w:spacing w:after="0" w:line="240" w:lineRule="auto"/>
        <w:rPr>
          <w:rFonts w:cstheme="minorHAnsi"/>
          <w:sz w:val="18"/>
          <w:szCs w:val="18"/>
          <w:lang w:val="en-GB"/>
        </w:rPr>
      </w:pPr>
      <w:r w:rsidRPr="00E76091">
        <w:rPr>
          <w:rFonts w:cstheme="minorHAnsi"/>
          <w:sz w:val="18"/>
          <w:szCs w:val="18"/>
          <w:vertAlign w:val="superscript"/>
          <w:lang w:val="en-GB"/>
        </w:rPr>
        <w:t>#</w:t>
      </w:r>
      <w:r w:rsidRPr="00E76091">
        <w:rPr>
          <w:rFonts w:cstheme="minorHAnsi"/>
          <w:sz w:val="18"/>
          <w:szCs w:val="18"/>
          <w:lang w:val="en-GB"/>
        </w:rPr>
        <w:t>For Belgium: Antwerp registry, deaths during the first year of life were only available (NA=not available)</w:t>
      </w:r>
    </w:p>
    <w:p w14:paraId="06BE8B77" w14:textId="77777777" w:rsidR="00C40D5E" w:rsidRPr="00E76091" w:rsidRDefault="00C40D5E" w:rsidP="00C40D5E">
      <w:pPr>
        <w:spacing w:after="0" w:line="240" w:lineRule="auto"/>
        <w:rPr>
          <w:rFonts w:cstheme="minorHAnsi"/>
          <w:sz w:val="18"/>
          <w:szCs w:val="18"/>
          <w:lang w:val="en-GB"/>
        </w:rPr>
      </w:pPr>
      <w:r w:rsidRPr="00E76091">
        <w:rPr>
          <w:rFonts w:cstheme="minorHAnsi"/>
          <w:sz w:val="18"/>
          <w:szCs w:val="18"/>
          <w:lang w:val="en-GB"/>
        </w:rPr>
        <w:t>† In Malta termination of pregnancy is illegal</w:t>
      </w:r>
    </w:p>
    <w:p w14:paraId="56F9054F" w14:textId="77777777" w:rsidR="00C40D5E" w:rsidRPr="00E76091" w:rsidRDefault="00C40D5E" w:rsidP="00C40D5E">
      <w:pPr>
        <w:spacing w:after="0" w:line="240" w:lineRule="auto"/>
        <w:rPr>
          <w:rFonts w:cstheme="minorHAnsi"/>
          <w:sz w:val="18"/>
          <w:szCs w:val="18"/>
          <w:lang w:val="en-GB"/>
        </w:rPr>
      </w:pPr>
      <w:r w:rsidRPr="00E76091">
        <w:rPr>
          <w:rFonts w:cstheme="minorHAnsi"/>
          <w:sz w:val="18"/>
          <w:szCs w:val="18"/>
          <w:lang w:val="en-GB"/>
        </w:rPr>
        <w:t>°For Netherlands: Northern, due to small number restrictions for all values the last digits are rounded to 0 or 5</w:t>
      </w:r>
    </w:p>
    <w:p w14:paraId="2A4D8091" w14:textId="77777777" w:rsidR="00C40D5E" w:rsidRPr="00B34BD1" w:rsidRDefault="00C40D5E" w:rsidP="00C40D5E">
      <w:pPr>
        <w:spacing w:after="0" w:line="240" w:lineRule="auto"/>
        <w:rPr>
          <w:rFonts w:cstheme="minorHAnsi"/>
          <w:sz w:val="18"/>
          <w:vertAlign w:val="superscript"/>
          <w:lang w:val="en-GB"/>
        </w:rPr>
      </w:pPr>
      <w:r w:rsidRPr="00E76091">
        <w:rPr>
          <w:rFonts w:cstheme="minorHAnsi"/>
          <w:sz w:val="20"/>
          <w:szCs w:val="20"/>
          <w:vertAlign w:val="superscript"/>
          <w:lang w:val="en-GB"/>
        </w:rPr>
        <w:t xml:space="preserve">§ </w:t>
      </w:r>
      <w:r w:rsidRPr="00E76091">
        <w:rPr>
          <w:rFonts w:cstheme="minorHAnsi"/>
          <w:sz w:val="18"/>
          <w:lang w:val="en-GB"/>
        </w:rPr>
        <w:t>In Norway data available from 1999</w:t>
      </w:r>
    </w:p>
    <w:p w14:paraId="7A49FE7C" w14:textId="77777777" w:rsidR="00C40D5E" w:rsidRPr="00E76091" w:rsidRDefault="00C40D5E" w:rsidP="00C40D5E">
      <w:pPr>
        <w:spacing w:after="0" w:line="240" w:lineRule="auto"/>
        <w:rPr>
          <w:rFonts w:cstheme="minorHAnsi"/>
          <w:sz w:val="18"/>
          <w:szCs w:val="18"/>
          <w:lang w:val="en-GB"/>
        </w:rPr>
      </w:pPr>
      <w:r w:rsidRPr="00E76091">
        <w:rPr>
          <w:rFonts w:cstheme="minorHAnsi"/>
          <w:sz w:val="18"/>
          <w:szCs w:val="18"/>
          <w:lang w:val="en-GB"/>
        </w:rPr>
        <w:t xml:space="preserve">NC = </w:t>
      </w:r>
      <w:proofErr w:type="spellStart"/>
      <w:r w:rsidRPr="00E76091">
        <w:rPr>
          <w:rFonts w:cstheme="minorHAnsi"/>
          <w:sz w:val="18"/>
          <w:szCs w:val="18"/>
          <w:lang w:val="en-GB"/>
        </w:rPr>
        <w:t>not</w:t>
      </w:r>
      <w:proofErr w:type="spellEnd"/>
      <w:r w:rsidRPr="00E76091">
        <w:rPr>
          <w:rFonts w:cstheme="minorHAnsi"/>
          <w:sz w:val="18"/>
          <w:szCs w:val="18"/>
          <w:lang w:val="en-GB"/>
        </w:rPr>
        <w:t xml:space="preserve"> calculable because model not fitted due to too small numbers</w:t>
      </w:r>
    </w:p>
    <w:p w14:paraId="03B4C3A7" w14:textId="77777777" w:rsidR="00C40D5E" w:rsidRPr="00E76091" w:rsidRDefault="00C40D5E" w:rsidP="00C40D5E">
      <w:pPr>
        <w:spacing w:after="0" w:line="240" w:lineRule="auto"/>
        <w:rPr>
          <w:rFonts w:cstheme="minorHAnsi"/>
          <w:sz w:val="18"/>
          <w:szCs w:val="18"/>
          <w:lang w:val="en-GB"/>
        </w:rPr>
      </w:pPr>
      <w:r w:rsidRPr="00E76091">
        <w:rPr>
          <w:rFonts w:eastAsia="Times New Roman" w:cstheme="minorHAnsi"/>
          <w:b/>
          <w:bCs/>
          <w:color w:val="000000"/>
          <w:vertAlign w:val="superscript"/>
          <w:lang w:val="en-GB"/>
        </w:rPr>
        <w:t>^</w:t>
      </w:r>
      <w:r w:rsidRPr="00E76091">
        <w:rPr>
          <w:rFonts w:cstheme="minorHAnsi"/>
          <w:sz w:val="18"/>
          <w:szCs w:val="18"/>
          <w:lang w:val="en-GB"/>
        </w:rPr>
        <w:t xml:space="preserve">Severe CHD included: common arterial truncus, double outlet right ventricle, transposition of great vessels, single ventricle, atrioventricular septal defect, tetralogy of </w:t>
      </w:r>
      <w:proofErr w:type="spellStart"/>
      <w:r w:rsidRPr="00E76091">
        <w:rPr>
          <w:rFonts w:cstheme="minorHAnsi"/>
          <w:sz w:val="18"/>
          <w:szCs w:val="18"/>
          <w:lang w:val="en-GB"/>
        </w:rPr>
        <w:t>Fallot</w:t>
      </w:r>
      <w:proofErr w:type="spellEnd"/>
      <w:r w:rsidRPr="00E76091">
        <w:rPr>
          <w:rFonts w:cstheme="minorHAnsi"/>
          <w:sz w:val="18"/>
          <w:szCs w:val="18"/>
          <w:lang w:val="en-GB"/>
        </w:rPr>
        <w:t xml:space="preserve">, pulmonary valve atresia, </w:t>
      </w:r>
      <w:proofErr w:type="spellStart"/>
      <w:r w:rsidRPr="00E76091">
        <w:rPr>
          <w:rFonts w:cstheme="minorHAnsi"/>
          <w:sz w:val="18"/>
          <w:szCs w:val="18"/>
          <w:lang w:val="en-GB"/>
        </w:rPr>
        <w:t>triscuspid</w:t>
      </w:r>
      <w:proofErr w:type="spellEnd"/>
      <w:r w:rsidRPr="00E76091">
        <w:rPr>
          <w:rFonts w:cstheme="minorHAnsi"/>
          <w:sz w:val="18"/>
          <w:szCs w:val="18"/>
          <w:lang w:val="en-GB"/>
        </w:rPr>
        <w:t xml:space="preserve"> atresia and stenosis, </w:t>
      </w:r>
      <w:proofErr w:type="spellStart"/>
      <w:r w:rsidRPr="00E76091">
        <w:rPr>
          <w:rFonts w:cstheme="minorHAnsi"/>
          <w:sz w:val="18"/>
          <w:szCs w:val="18"/>
          <w:lang w:val="en-GB"/>
        </w:rPr>
        <w:t>Ebstein</w:t>
      </w:r>
      <w:proofErr w:type="spellEnd"/>
      <w:r w:rsidRPr="00E76091">
        <w:rPr>
          <w:rFonts w:cstheme="minorHAnsi"/>
          <w:sz w:val="18"/>
          <w:szCs w:val="18"/>
          <w:lang w:val="en-GB"/>
        </w:rPr>
        <w:t xml:space="preserve"> anomaly, </w:t>
      </w:r>
      <w:proofErr w:type="spellStart"/>
      <w:r w:rsidRPr="00E76091">
        <w:rPr>
          <w:rFonts w:cstheme="minorHAnsi"/>
          <w:sz w:val="18"/>
          <w:szCs w:val="18"/>
          <w:lang w:val="en-GB"/>
        </w:rPr>
        <w:t>hypoplastic</w:t>
      </w:r>
      <w:proofErr w:type="spellEnd"/>
      <w:r w:rsidRPr="00E76091">
        <w:rPr>
          <w:rFonts w:cstheme="minorHAnsi"/>
          <w:sz w:val="18"/>
          <w:szCs w:val="18"/>
          <w:lang w:val="en-GB"/>
        </w:rPr>
        <w:t xml:space="preserve"> right heart, aortic valve atresia/stenosis, mitral valve anomalies, </w:t>
      </w:r>
      <w:proofErr w:type="spellStart"/>
      <w:r w:rsidRPr="00E76091">
        <w:rPr>
          <w:rFonts w:cstheme="minorHAnsi"/>
          <w:sz w:val="18"/>
          <w:szCs w:val="18"/>
          <w:lang w:val="en-GB"/>
        </w:rPr>
        <w:t>hypoplastic</w:t>
      </w:r>
      <w:proofErr w:type="spellEnd"/>
      <w:r w:rsidRPr="00E76091">
        <w:rPr>
          <w:rFonts w:cstheme="minorHAnsi"/>
          <w:sz w:val="18"/>
          <w:szCs w:val="18"/>
          <w:lang w:val="en-GB"/>
        </w:rPr>
        <w:t xml:space="preserve"> left heart, </w:t>
      </w:r>
      <w:proofErr w:type="spellStart"/>
      <w:r w:rsidRPr="00E76091">
        <w:rPr>
          <w:rFonts w:cstheme="minorHAnsi"/>
          <w:sz w:val="18"/>
          <w:szCs w:val="18"/>
          <w:lang w:val="en-GB"/>
        </w:rPr>
        <w:t>coarctation</w:t>
      </w:r>
      <w:proofErr w:type="spellEnd"/>
      <w:r w:rsidRPr="00E76091">
        <w:rPr>
          <w:rFonts w:cstheme="minorHAnsi"/>
          <w:sz w:val="18"/>
          <w:szCs w:val="18"/>
          <w:lang w:val="en-GB"/>
        </w:rPr>
        <w:t xml:space="preserve"> of aorta, aortic atresia/interrupted aortic arch, total anomalous pulmonary venous return </w:t>
      </w:r>
    </w:p>
    <w:p w14:paraId="099D9DA2" w14:textId="32D28CD7" w:rsidR="008C5AF1" w:rsidRDefault="008C5AF1" w:rsidP="008C5AF1">
      <w:pPr>
        <w:rPr>
          <w:rFonts w:cstheme="minorHAnsi"/>
          <w:lang w:val="en-GB"/>
        </w:rPr>
      </w:pPr>
    </w:p>
    <w:p w14:paraId="5271D165" w14:textId="3C5210F5" w:rsidR="00C40D5E" w:rsidRDefault="00C40D5E" w:rsidP="008C5AF1">
      <w:pPr>
        <w:rPr>
          <w:rFonts w:cstheme="minorHAnsi"/>
          <w:lang w:val="en-GB"/>
        </w:rPr>
      </w:pPr>
    </w:p>
    <w:p w14:paraId="3361680A" w14:textId="6BDF8BC8" w:rsidR="00C40D5E" w:rsidRDefault="00C40D5E" w:rsidP="008C5AF1">
      <w:pPr>
        <w:rPr>
          <w:rFonts w:cstheme="minorHAnsi"/>
          <w:lang w:val="en-GB"/>
        </w:rPr>
      </w:pPr>
    </w:p>
    <w:p w14:paraId="7A026C04" w14:textId="38EF2FAA" w:rsidR="00C40D5E" w:rsidRDefault="00C40D5E" w:rsidP="008C5AF1">
      <w:pPr>
        <w:rPr>
          <w:rFonts w:cstheme="minorHAnsi"/>
          <w:lang w:val="en-GB"/>
        </w:rPr>
      </w:pPr>
    </w:p>
    <w:p w14:paraId="4B045ECE" w14:textId="209BBD35" w:rsidR="00C40D5E" w:rsidRDefault="00C40D5E" w:rsidP="008C5AF1">
      <w:pPr>
        <w:rPr>
          <w:rFonts w:cstheme="minorHAnsi"/>
          <w:lang w:val="en-GB"/>
        </w:rPr>
      </w:pPr>
    </w:p>
    <w:p w14:paraId="11B64DF5" w14:textId="1E1D1D4C" w:rsidR="00C40D5E" w:rsidRDefault="00C40D5E" w:rsidP="008C5AF1">
      <w:pPr>
        <w:rPr>
          <w:rFonts w:cstheme="minorHAnsi"/>
          <w:lang w:val="en-GB"/>
        </w:rPr>
      </w:pPr>
    </w:p>
    <w:p w14:paraId="1F1099D5" w14:textId="61F32AD8" w:rsidR="008C5AF1" w:rsidRPr="00F77BA8" w:rsidRDefault="008C5AF1" w:rsidP="00F77BA8">
      <w:pPr>
        <w:rPr>
          <w:rFonts w:ascii="Times New Roman" w:hAnsi="Times New Roman" w:cs="Times New Roman"/>
          <w:b/>
          <w:lang w:val="en-GB"/>
        </w:rPr>
      </w:pPr>
      <w:r w:rsidRPr="00CE66BE">
        <w:rPr>
          <w:rFonts w:cstheme="minorHAnsi"/>
          <w:b/>
          <w:lang w:val="en-GB"/>
        </w:rPr>
        <w:lastRenderedPageBreak/>
        <w:t>Table 3</w:t>
      </w:r>
      <w:r w:rsidRPr="00CE66BE">
        <w:rPr>
          <w:rFonts w:cstheme="minorHAnsi"/>
          <w:lang w:val="en-GB"/>
        </w:rPr>
        <w:t xml:space="preserve"> </w:t>
      </w:r>
      <w:r w:rsidR="00C40D5E" w:rsidRPr="0051290F">
        <w:rPr>
          <w:rFonts w:cstheme="minorHAnsi"/>
          <w:lang w:val="en-GB"/>
        </w:rPr>
        <w:t>Survival estimates of children with a major congenital anomaly</w:t>
      </w:r>
      <w:r w:rsidR="00C40D5E">
        <w:rPr>
          <w:rFonts w:cstheme="minorHAnsi"/>
          <w:lang w:val="en-GB"/>
        </w:rPr>
        <w:t xml:space="preserve"> of </w:t>
      </w:r>
      <w:r w:rsidR="00C40D5E" w:rsidRPr="00E76091">
        <w:rPr>
          <w:rFonts w:cstheme="minorHAnsi"/>
          <w:lang w:val="en-GB"/>
        </w:rPr>
        <w:t xml:space="preserve">‘All anomalies’ </w:t>
      </w:r>
      <w:r w:rsidR="00C40D5E">
        <w:rPr>
          <w:rFonts w:cstheme="minorHAnsi"/>
          <w:lang w:val="en-GB"/>
        </w:rPr>
        <w:t>and isolated s</w:t>
      </w:r>
      <w:r w:rsidR="00C40D5E" w:rsidRPr="00E76091">
        <w:rPr>
          <w:rFonts w:cstheme="minorHAnsi"/>
          <w:lang w:val="en-GB"/>
        </w:rPr>
        <w:t>evere</w:t>
      </w:r>
      <w:r w:rsidR="00C40D5E">
        <w:rPr>
          <w:rFonts w:cstheme="minorHAnsi"/>
          <w:lang w:val="en-GB"/>
        </w:rPr>
        <w:t xml:space="preserve"> Congenital Heart Defects (CHD), </w:t>
      </w:r>
      <w:r w:rsidR="00C40D5E" w:rsidRPr="0051290F">
        <w:rPr>
          <w:rFonts w:cstheme="minorHAnsi"/>
          <w:lang w:val="en-GB"/>
        </w:rPr>
        <w:t>at 28 days, at 5 years, and at 5 years conditional on surviving at 28 days, with 95% Confidence Intervals (95%</w:t>
      </w:r>
      <w:r w:rsidR="00C40D5E">
        <w:rPr>
          <w:rFonts w:cstheme="minorHAnsi"/>
          <w:lang w:val="en-GB"/>
        </w:rPr>
        <w:t xml:space="preserve"> </w:t>
      </w:r>
      <w:r w:rsidR="00C40D5E" w:rsidRPr="0051290F">
        <w:rPr>
          <w:rFonts w:cstheme="minorHAnsi"/>
          <w:lang w:val="en-GB"/>
        </w:rPr>
        <w:t>CI), by registry (birth year period: 2005-2014).</w:t>
      </w:r>
    </w:p>
    <w:tbl>
      <w:tblPr>
        <w:tblW w:w="9441" w:type="dxa"/>
        <w:jc w:val="center"/>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3828"/>
        <w:gridCol w:w="1871"/>
        <w:gridCol w:w="1871"/>
        <w:gridCol w:w="1871"/>
      </w:tblGrid>
      <w:tr w:rsidR="00C40D5E" w:rsidRPr="00CE66BE" w14:paraId="5D8BB38A" w14:textId="77777777" w:rsidTr="00162987">
        <w:trPr>
          <w:trHeight w:val="283"/>
          <w:jc w:val="center"/>
        </w:trPr>
        <w:tc>
          <w:tcPr>
            <w:tcW w:w="3828" w:type="dxa"/>
            <w:tcBorders>
              <w:top w:val="single" w:sz="4" w:space="0" w:color="auto"/>
              <w:bottom w:val="single" w:sz="4" w:space="0" w:color="auto"/>
            </w:tcBorders>
            <w:shd w:val="clear" w:color="auto" w:fill="auto"/>
            <w:noWrap/>
          </w:tcPr>
          <w:p w14:paraId="1D22F4F5" w14:textId="77777777" w:rsidR="00C40D5E" w:rsidRPr="00CE66BE" w:rsidRDefault="00C40D5E" w:rsidP="00162987">
            <w:pPr>
              <w:spacing w:after="0" w:line="240" w:lineRule="auto"/>
              <w:rPr>
                <w:rFonts w:eastAsia="Times New Roman" w:cstheme="minorHAnsi"/>
                <w:b/>
                <w:bCs/>
                <w:color w:val="000000"/>
                <w:lang w:val="en-GB" w:eastAsia="it-IT"/>
              </w:rPr>
            </w:pPr>
            <w:r w:rsidRPr="00CE66BE">
              <w:rPr>
                <w:rFonts w:eastAsia="Times New Roman" w:cstheme="minorHAnsi"/>
                <w:b/>
                <w:bCs/>
                <w:color w:val="000000"/>
                <w:lang w:val="en-GB" w:eastAsia="it-IT"/>
              </w:rPr>
              <w:t>Registry</w:t>
            </w:r>
          </w:p>
        </w:tc>
        <w:tc>
          <w:tcPr>
            <w:tcW w:w="1871" w:type="dxa"/>
            <w:tcBorders>
              <w:top w:val="single" w:sz="4" w:space="0" w:color="auto"/>
              <w:bottom w:val="single" w:sz="4" w:space="0" w:color="auto"/>
            </w:tcBorders>
            <w:vAlign w:val="center"/>
          </w:tcPr>
          <w:p w14:paraId="611C1D17" w14:textId="77777777" w:rsidR="00C40D5E" w:rsidRPr="00CE66BE" w:rsidRDefault="00C40D5E" w:rsidP="00162987">
            <w:pPr>
              <w:spacing w:after="0" w:line="240" w:lineRule="auto"/>
              <w:jc w:val="center"/>
              <w:rPr>
                <w:rFonts w:eastAsia="Times New Roman" w:cstheme="minorHAnsi"/>
                <w:b/>
                <w:bCs/>
                <w:color w:val="000000"/>
                <w:lang w:val="en-GB" w:eastAsia="it-IT"/>
              </w:rPr>
            </w:pPr>
            <w:r w:rsidRPr="00CE66BE">
              <w:rPr>
                <w:rFonts w:eastAsia="Times New Roman" w:cstheme="minorHAnsi"/>
                <w:b/>
                <w:bCs/>
                <w:color w:val="000000"/>
                <w:lang w:val="en-GB" w:eastAsia="it-IT"/>
              </w:rPr>
              <w:t>28-day-survival (95% CI)</w:t>
            </w:r>
          </w:p>
        </w:tc>
        <w:tc>
          <w:tcPr>
            <w:tcW w:w="1871" w:type="dxa"/>
            <w:tcBorders>
              <w:top w:val="single" w:sz="4" w:space="0" w:color="auto"/>
              <w:bottom w:val="single" w:sz="4" w:space="0" w:color="auto"/>
            </w:tcBorders>
            <w:vAlign w:val="center"/>
          </w:tcPr>
          <w:p w14:paraId="0E94DD24" w14:textId="77777777" w:rsidR="00C40D5E" w:rsidRPr="00CE66BE" w:rsidRDefault="00C40D5E" w:rsidP="00162987">
            <w:pPr>
              <w:spacing w:after="0" w:line="240" w:lineRule="auto"/>
              <w:jc w:val="center"/>
              <w:rPr>
                <w:rFonts w:eastAsia="Times New Roman" w:cstheme="minorHAnsi"/>
                <w:b/>
                <w:bCs/>
                <w:color w:val="000000"/>
                <w:lang w:val="en-GB" w:eastAsia="it-IT"/>
              </w:rPr>
            </w:pPr>
            <w:r w:rsidRPr="00CE66BE">
              <w:rPr>
                <w:rFonts w:eastAsia="Times New Roman" w:cstheme="minorHAnsi"/>
                <w:b/>
                <w:bCs/>
                <w:color w:val="000000"/>
                <w:lang w:val="en-GB" w:eastAsia="it-IT"/>
              </w:rPr>
              <w:t>5-year survival (95% CI)</w:t>
            </w:r>
          </w:p>
        </w:tc>
        <w:tc>
          <w:tcPr>
            <w:tcW w:w="1871" w:type="dxa"/>
            <w:tcBorders>
              <w:top w:val="single" w:sz="4" w:space="0" w:color="auto"/>
              <w:bottom w:val="single" w:sz="4" w:space="0" w:color="auto"/>
            </w:tcBorders>
            <w:vAlign w:val="center"/>
          </w:tcPr>
          <w:p w14:paraId="7FF46320" w14:textId="77777777" w:rsidR="00C40D5E" w:rsidRPr="00CE66BE" w:rsidRDefault="00C40D5E" w:rsidP="00162987">
            <w:pPr>
              <w:spacing w:after="0" w:line="240" w:lineRule="auto"/>
              <w:jc w:val="center"/>
              <w:rPr>
                <w:rFonts w:eastAsia="Times New Roman" w:cstheme="minorHAnsi"/>
                <w:b/>
                <w:bCs/>
                <w:color w:val="000000"/>
                <w:lang w:val="en-GB" w:eastAsia="it-IT"/>
              </w:rPr>
            </w:pPr>
            <w:r w:rsidRPr="00CE66BE">
              <w:rPr>
                <w:rFonts w:eastAsia="Times New Roman" w:cstheme="minorHAnsi"/>
                <w:b/>
                <w:bCs/>
                <w:color w:val="000000"/>
                <w:lang w:val="en-GB" w:eastAsia="it-IT"/>
              </w:rPr>
              <w:t>5-year conditional survival (95% CI)</w:t>
            </w:r>
          </w:p>
        </w:tc>
      </w:tr>
      <w:tr w:rsidR="00C40D5E" w:rsidRPr="00CE66BE" w14:paraId="300E89BA" w14:textId="77777777" w:rsidTr="00162987">
        <w:trPr>
          <w:trHeight w:val="283"/>
          <w:jc w:val="center"/>
        </w:trPr>
        <w:tc>
          <w:tcPr>
            <w:tcW w:w="3828" w:type="dxa"/>
            <w:tcBorders>
              <w:top w:val="single" w:sz="4" w:space="0" w:color="auto"/>
              <w:bottom w:val="nil"/>
            </w:tcBorders>
            <w:shd w:val="clear" w:color="auto" w:fill="auto"/>
            <w:noWrap/>
          </w:tcPr>
          <w:p w14:paraId="5373AB25" w14:textId="77777777" w:rsidR="00C40D5E" w:rsidRPr="00CE66BE" w:rsidRDefault="00C40D5E" w:rsidP="00162987">
            <w:pPr>
              <w:spacing w:after="0" w:line="240" w:lineRule="auto"/>
              <w:rPr>
                <w:rFonts w:eastAsia="Times New Roman" w:cstheme="minorHAnsi"/>
                <w:color w:val="000000"/>
                <w:lang w:val="en-GB" w:eastAsia="it-IT"/>
              </w:rPr>
            </w:pPr>
            <w:proofErr w:type="spellStart"/>
            <w:r w:rsidRPr="00CE66BE">
              <w:rPr>
                <w:rFonts w:eastAsia="Times New Roman" w:cstheme="minorHAnsi"/>
                <w:b/>
                <w:bCs/>
                <w:color w:val="000000"/>
              </w:rPr>
              <w:t>All</w:t>
            </w:r>
            <w:proofErr w:type="spellEnd"/>
            <w:r w:rsidRPr="00CE66BE">
              <w:rPr>
                <w:rFonts w:eastAsia="Times New Roman" w:cstheme="minorHAnsi"/>
                <w:b/>
                <w:bCs/>
                <w:color w:val="000000"/>
              </w:rPr>
              <w:t xml:space="preserve"> </w:t>
            </w:r>
            <w:proofErr w:type="spellStart"/>
            <w:r w:rsidRPr="00CE66BE">
              <w:rPr>
                <w:rFonts w:eastAsia="Times New Roman" w:cstheme="minorHAnsi"/>
                <w:b/>
                <w:bCs/>
                <w:color w:val="000000"/>
              </w:rPr>
              <w:t>anomalies</w:t>
            </w:r>
            <w:proofErr w:type="spellEnd"/>
            <w:r w:rsidRPr="00CE66BE">
              <w:rPr>
                <w:rFonts w:eastAsia="Times New Roman" w:cstheme="minorHAnsi"/>
                <w:b/>
                <w:bCs/>
                <w:color w:val="000000"/>
              </w:rPr>
              <w:t xml:space="preserve"> </w:t>
            </w:r>
            <w:r>
              <w:rPr>
                <w:rFonts w:eastAsia="Times New Roman" w:cstheme="minorHAnsi"/>
                <w:b/>
                <w:bCs/>
                <w:color w:val="000000"/>
              </w:rPr>
              <w:t xml:space="preserve"> </w:t>
            </w:r>
          </w:p>
        </w:tc>
        <w:tc>
          <w:tcPr>
            <w:tcW w:w="1871" w:type="dxa"/>
            <w:tcBorders>
              <w:top w:val="single" w:sz="4" w:space="0" w:color="auto"/>
              <w:bottom w:val="nil"/>
            </w:tcBorders>
            <w:vAlign w:val="center"/>
          </w:tcPr>
          <w:p w14:paraId="17798781" w14:textId="77777777" w:rsidR="00C40D5E" w:rsidRDefault="00C40D5E" w:rsidP="00162987">
            <w:pPr>
              <w:spacing w:after="0" w:line="240" w:lineRule="auto"/>
              <w:jc w:val="center"/>
              <w:rPr>
                <w:rFonts w:eastAsia="Times New Roman" w:cstheme="minorHAnsi"/>
                <w:color w:val="000000"/>
                <w:lang w:val="en-GB" w:eastAsia="it-IT"/>
              </w:rPr>
            </w:pPr>
          </w:p>
        </w:tc>
        <w:tc>
          <w:tcPr>
            <w:tcW w:w="1871" w:type="dxa"/>
            <w:tcBorders>
              <w:top w:val="single" w:sz="4" w:space="0" w:color="auto"/>
              <w:bottom w:val="nil"/>
            </w:tcBorders>
            <w:vAlign w:val="center"/>
          </w:tcPr>
          <w:p w14:paraId="2C502A45" w14:textId="77777777" w:rsidR="00C40D5E" w:rsidRPr="00CE66BE" w:rsidRDefault="00C40D5E" w:rsidP="00162987">
            <w:pPr>
              <w:spacing w:after="0" w:line="240" w:lineRule="auto"/>
              <w:jc w:val="center"/>
              <w:rPr>
                <w:rFonts w:eastAsia="Times New Roman" w:cstheme="minorHAnsi"/>
                <w:color w:val="000000"/>
                <w:lang w:val="en-GB" w:eastAsia="it-IT"/>
              </w:rPr>
            </w:pPr>
          </w:p>
        </w:tc>
        <w:tc>
          <w:tcPr>
            <w:tcW w:w="1871" w:type="dxa"/>
            <w:tcBorders>
              <w:top w:val="single" w:sz="4" w:space="0" w:color="auto"/>
              <w:bottom w:val="nil"/>
            </w:tcBorders>
            <w:vAlign w:val="center"/>
          </w:tcPr>
          <w:p w14:paraId="1A725AB5" w14:textId="77777777" w:rsidR="00C40D5E" w:rsidRPr="00CE66BE" w:rsidRDefault="00C40D5E" w:rsidP="00162987">
            <w:pPr>
              <w:spacing w:after="0" w:line="240" w:lineRule="auto"/>
              <w:jc w:val="center"/>
              <w:rPr>
                <w:rFonts w:eastAsia="Times New Roman" w:cstheme="minorHAnsi"/>
                <w:color w:val="000000"/>
                <w:lang w:val="en-GB" w:eastAsia="it-IT"/>
              </w:rPr>
            </w:pPr>
          </w:p>
        </w:tc>
      </w:tr>
      <w:tr w:rsidR="00C40D5E" w:rsidRPr="00CE66BE" w14:paraId="05B64F17" w14:textId="77777777" w:rsidTr="00162987">
        <w:trPr>
          <w:trHeight w:val="283"/>
          <w:jc w:val="center"/>
        </w:trPr>
        <w:tc>
          <w:tcPr>
            <w:tcW w:w="3828" w:type="dxa"/>
            <w:tcBorders>
              <w:top w:val="nil"/>
            </w:tcBorders>
            <w:shd w:val="clear" w:color="auto" w:fill="auto"/>
            <w:noWrap/>
            <w:vAlign w:val="center"/>
            <w:hideMark/>
          </w:tcPr>
          <w:p w14:paraId="38C67259" w14:textId="77777777" w:rsidR="00C40D5E" w:rsidRPr="00CE66BE" w:rsidRDefault="00C40D5E" w:rsidP="00162987">
            <w:pPr>
              <w:spacing w:after="0" w:line="240" w:lineRule="auto"/>
              <w:rPr>
                <w:rFonts w:eastAsia="Times New Roman" w:cstheme="minorHAnsi"/>
                <w:color w:val="000000"/>
                <w:lang w:val="en-GB" w:eastAsia="it-IT"/>
              </w:rPr>
            </w:pPr>
            <w:r w:rsidRPr="00CE66BE">
              <w:rPr>
                <w:rFonts w:eastAsia="Times New Roman" w:cstheme="minorHAnsi"/>
                <w:color w:val="000000"/>
                <w:lang w:val="en-GB" w:eastAsia="it-IT"/>
              </w:rPr>
              <w:t>Belgium: Antwerp</w:t>
            </w:r>
            <w:r>
              <w:rPr>
                <w:rFonts w:cstheme="minorHAnsi"/>
                <w:sz w:val="18"/>
                <w:szCs w:val="18"/>
                <w:vertAlign w:val="superscript"/>
                <w:lang w:val="en-GB"/>
              </w:rPr>
              <w:t xml:space="preserve"> </w:t>
            </w:r>
            <w:r w:rsidRPr="00E76091">
              <w:rPr>
                <w:rFonts w:cstheme="minorHAnsi"/>
                <w:sz w:val="18"/>
                <w:szCs w:val="18"/>
                <w:vertAlign w:val="superscript"/>
                <w:lang w:val="en-GB"/>
              </w:rPr>
              <w:t>#</w:t>
            </w:r>
          </w:p>
        </w:tc>
        <w:tc>
          <w:tcPr>
            <w:tcW w:w="1871" w:type="dxa"/>
            <w:tcBorders>
              <w:top w:val="nil"/>
            </w:tcBorders>
            <w:vAlign w:val="center"/>
          </w:tcPr>
          <w:p w14:paraId="301D88A4" w14:textId="77777777" w:rsidR="00C40D5E" w:rsidRPr="00CE66BE" w:rsidRDefault="00C40D5E" w:rsidP="00162987">
            <w:pPr>
              <w:spacing w:after="0" w:line="240" w:lineRule="auto"/>
              <w:jc w:val="center"/>
              <w:rPr>
                <w:rFonts w:eastAsia="Times New Roman" w:cstheme="minorHAnsi"/>
                <w:color w:val="000000"/>
                <w:lang w:val="en-GB" w:eastAsia="it-IT"/>
              </w:rPr>
            </w:pPr>
            <w:r>
              <w:rPr>
                <w:rFonts w:eastAsia="Times New Roman" w:cstheme="minorHAnsi"/>
                <w:color w:val="000000"/>
                <w:lang w:val="en-GB" w:eastAsia="it-IT"/>
              </w:rPr>
              <w:t xml:space="preserve">96.4 (95.8, </w:t>
            </w:r>
            <w:r w:rsidRPr="00CE66BE">
              <w:rPr>
                <w:rFonts w:eastAsia="Times New Roman" w:cstheme="minorHAnsi"/>
                <w:color w:val="000000"/>
                <w:lang w:val="en-GB" w:eastAsia="it-IT"/>
              </w:rPr>
              <w:t>96.9)</w:t>
            </w:r>
          </w:p>
        </w:tc>
        <w:tc>
          <w:tcPr>
            <w:tcW w:w="1871" w:type="dxa"/>
            <w:tcBorders>
              <w:top w:val="nil"/>
            </w:tcBorders>
            <w:vAlign w:val="center"/>
          </w:tcPr>
          <w:p w14:paraId="780FB9EA" w14:textId="77777777" w:rsidR="00C40D5E" w:rsidRPr="00CE66BE" w:rsidRDefault="00C40D5E" w:rsidP="00162987">
            <w:pPr>
              <w:spacing w:after="0" w:line="240" w:lineRule="auto"/>
              <w:jc w:val="center"/>
              <w:rPr>
                <w:rFonts w:eastAsia="Times New Roman" w:cstheme="minorHAnsi"/>
                <w:color w:val="000000"/>
                <w:lang w:val="en-GB" w:eastAsia="it-IT"/>
              </w:rPr>
            </w:pPr>
            <w:r w:rsidRPr="00CE66BE">
              <w:rPr>
                <w:rFonts w:eastAsia="Times New Roman" w:cstheme="minorHAnsi"/>
                <w:color w:val="000000"/>
                <w:lang w:val="en-GB" w:eastAsia="it-IT"/>
              </w:rPr>
              <w:t>NA</w:t>
            </w:r>
          </w:p>
        </w:tc>
        <w:tc>
          <w:tcPr>
            <w:tcW w:w="1871" w:type="dxa"/>
            <w:tcBorders>
              <w:top w:val="nil"/>
            </w:tcBorders>
            <w:vAlign w:val="center"/>
          </w:tcPr>
          <w:p w14:paraId="0E5C4B02" w14:textId="77777777" w:rsidR="00C40D5E" w:rsidRPr="00CE66BE" w:rsidRDefault="00C40D5E" w:rsidP="00162987">
            <w:pPr>
              <w:spacing w:after="0" w:line="240" w:lineRule="auto"/>
              <w:jc w:val="center"/>
              <w:rPr>
                <w:rFonts w:eastAsia="Times New Roman" w:cstheme="minorHAnsi"/>
                <w:color w:val="000000"/>
                <w:lang w:val="en-GB" w:eastAsia="it-IT"/>
              </w:rPr>
            </w:pPr>
            <w:r w:rsidRPr="00CE66BE">
              <w:rPr>
                <w:rFonts w:eastAsia="Times New Roman" w:cstheme="minorHAnsi"/>
                <w:color w:val="000000"/>
                <w:lang w:val="en-GB" w:eastAsia="it-IT"/>
              </w:rPr>
              <w:t>NA</w:t>
            </w:r>
          </w:p>
        </w:tc>
      </w:tr>
      <w:tr w:rsidR="00C40D5E" w:rsidRPr="00CE66BE" w14:paraId="1B861050" w14:textId="77777777" w:rsidTr="00162987">
        <w:trPr>
          <w:trHeight w:val="283"/>
          <w:jc w:val="center"/>
        </w:trPr>
        <w:tc>
          <w:tcPr>
            <w:tcW w:w="3828" w:type="dxa"/>
            <w:shd w:val="clear" w:color="auto" w:fill="auto"/>
            <w:noWrap/>
            <w:vAlign w:val="center"/>
            <w:hideMark/>
          </w:tcPr>
          <w:p w14:paraId="3E04E425" w14:textId="77777777" w:rsidR="00C40D5E" w:rsidRPr="00CE66BE" w:rsidRDefault="00C40D5E" w:rsidP="00162987">
            <w:pPr>
              <w:spacing w:after="0" w:line="240" w:lineRule="auto"/>
              <w:rPr>
                <w:rFonts w:eastAsia="Times New Roman" w:cstheme="minorHAnsi"/>
                <w:color w:val="000000"/>
                <w:lang w:val="en-GB" w:eastAsia="it-IT"/>
              </w:rPr>
            </w:pPr>
            <w:r w:rsidRPr="00CE66BE">
              <w:rPr>
                <w:rFonts w:eastAsia="Times New Roman" w:cstheme="minorHAnsi"/>
                <w:color w:val="000000"/>
                <w:lang w:val="en-GB" w:eastAsia="it-IT"/>
              </w:rPr>
              <w:t>Denmark: Funen</w:t>
            </w:r>
          </w:p>
        </w:tc>
        <w:tc>
          <w:tcPr>
            <w:tcW w:w="1871" w:type="dxa"/>
            <w:vAlign w:val="center"/>
          </w:tcPr>
          <w:p w14:paraId="5CB14185" w14:textId="77777777" w:rsidR="00C40D5E" w:rsidRPr="00CE66BE" w:rsidRDefault="00C40D5E" w:rsidP="00162987">
            <w:pPr>
              <w:spacing w:after="0" w:line="240" w:lineRule="auto"/>
              <w:jc w:val="center"/>
              <w:rPr>
                <w:rFonts w:eastAsia="Times New Roman" w:cstheme="minorHAnsi"/>
                <w:color w:val="000000"/>
                <w:lang w:val="en-GB" w:eastAsia="it-IT"/>
              </w:rPr>
            </w:pPr>
            <w:r>
              <w:rPr>
                <w:rFonts w:eastAsia="Times New Roman" w:cstheme="minorHAnsi"/>
                <w:color w:val="000000"/>
                <w:lang w:val="en-GB" w:eastAsia="it-IT"/>
              </w:rPr>
              <w:t xml:space="preserve">98.5 (97.6, </w:t>
            </w:r>
            <w:r w:rsidRPr="00CE66BE">
              <w:rPr>
                <w:rFonts w:eastAsia="Times New Roman" w:cstheme="minorHAnsi"/>
                <w:color w:val="000000"/>
                <w:lang w:val="en-GB" w:eastAsia="it-IT"/>
              </w:rPr>
              <w:t>99.0)</w:t>
            </w:r>
          </w:p>
        </w:tc>
        <w:tc>
          <w:tcPr>
            <w:tcW w:w="1871" w:type="dxa"/>
            <w:vAlign w:val="center"/>
          </w:tcPr>
          <w:p w14:paraId="172B829B" w14:textId="77777777" w:rsidR="00C40D5E" w:rsidRPr="00CE66BE" w:rsidRDefault="00C40D5E" w:rsidP="00162987">
            <w:pPr>
              <w:spacing w:after="0" w:line="240" w:lineRule="auto"/>
              <w:jc w:val="center"/>
              <w:rPr>
                <w:rFonts w:eastAsia="Times New Roman" w:cstheme="minorHAnsi"/>
                <w:color w:val="000000"/>
                <w:lang w:val="en-GB" w:eastAsia="it-IT"/>
              </w:rPr>
            </w:pPr>
            <w:r>
              <w:rPr>
                <w:rFonts w:eastAsia="Times New Roman" w:cstheme="minorHAnsi"/>
                <w:color w:val="000000"/>
                <w:lang w:val="en-GB" w:eastAsia="it-IT"/>
              </w:rPr>
              <w:t xml:space="preserve">97.0 (95.8, </w:t>
            </w:r>
            <w:r w:rsidRPr="00CE66BE">
              <w:rPr>
                <w:rFonts w:eastAsia="Times New Roman" w:cstheme="minorHAnsi"/>
                <w:color w:val="000000"/>
                <w:lang w:val="en-GB" w:eastAsia="it-IT"/>
              </w:rPr>
              <w:t>97.8)</w:t>
            </w:r>
          </w:p>
        </w:tc>
        <w:tc>
          <w:tcPr>
            <w:tcW w:w="1871" w:type="dxa"/>
            <w:vAlign w:val="center"/>
          </w:tcPr>
          <w:p w14:paraId="7B3E2E60" w14:textId="77777777" w:rsidR="00C40D5E" w:rsidRPr="00CE66BE" w:rsidRDefault="00C40D5E" w:rsidP="00162987">
            <w:pPr>
              <w:spacing w:after="0" w:line="240" w:lineRule="auto"/>
              <w:jc w:val="center"/>
              <w:rPr>
                <w:rFonts w:eastAsia="Times New Roman" w:cstheme="minorHAnsi"/>
                <w:color w:val="000000"/>
                <w:lang w:val="en-GB" w:eastAsia="it-IT"/>
              </w:rPr>
            </w:pPr>
            <w:r>
              <w:rPr>
                <w:rFonts w:eastAsia="Times New Roman" w:cstheme="minorHAnsi"/>
                <w:color w:val="000000"/>
                <w:lang w:val="en-GB" w:eastAsia="it-IT"/>
              </w:rPr>
              <w:t xml:space="preserve">98.4 (97.6, </w:t>
            </w:r>
            <w:r w:rsidRPr="00CE66BE">
              <w:rPr>
                <w:rFonts w:eastAsia="Times New Roman" w:cstheme="minorHAnsi"/>
                <w:color w:val="000000"/>
                <w:lang w:val="en-GB" w:eastAsia="it-IT"/>
              </w:rPr>
              <w:t>99.0)</w:t>
            </w:r>
          </w:p>
        </w:tc>
      </w:tr>
      <w:tr w:rsidR="00C40D5E" w:rsidRPr="00CE66BE" w14:paraId="6AC2335A" w14:textId="77777777" w:rsidTr="00162987">
        <w:trPr>
          <w:trHeight w:val="283"/>
          <w:jc w:val="center"/>
        </w:trPr>
        <w:tc>
          <w:tcPr>
            <w:tcW w:w="3828" w:type="dxa"/>
            <w:shd w:val="clear" w:color="auto" w:fill="auto"/>
            <w:noWrap/>
            <w:vAlign w:val="center"/>
            <w:hideMark/>
          </w:tcPr>
          <w:p w14:paraId="012C9539" w14:textId="77777777" w:rsidR="00C40D5E" w:rsidRPr="00CE66BE" w:rsidRDefault="00C40D5E" w:rsidP="00162987">
            <w:pPr>
              <w:spacing w:after="0" w:line="240" w:lineRule="auto"/>
              <w:rPr>
                <w:rFonts w:eastAsia="Times New Roman" w:cstheme="minorHAnsi"/>
                <w:color w:val="000000"/>
                <w:lang w:val="en-GB" w:eastAsia="it-IT"/>
              </w:rPr>
            </w:pPr>
            <w:r w:rsidRPr="00CE66BE">
              <w:rPr>
                <w:rFonts w:eastAsia="Times New Roman" w:cstheme="minorHAnsi"/>
                <w:color w:val="000000"/>
                <w:lang w:val="en-GB" w:eastAsia="it-IT"/>
              </w:rPr>
              <w:t>Finland</w:t>
            </w:r>
          </w:p>
        </w:tc>
        <w:tc>
          <w:tcPr>
            <w:tcW w:w="1871" w:type="dxa"/>
            <w:vAlign w:val="center"/>
          </w:tcPr>
          <w:p w14:paraId="26655C1D" w14:textId="77777777" w:rsidR="00C40D5E" w:rsidRPr="00CE66BE" w:rsidRDefault="00C40D5E" w:rsidP="00162987">
            <w:pPr>
              <w:spacing w:after="0" w:line="240" w:lineRule="auto"/>
              <w:jc w:val="center"/>
              <w:rPr>
                <w:rFonts w:eastAsia="Times New Roman" w:cstheme="minorHAnsi"/>
                <w:color w:val="000000"/>
                <w:lang w:val="en-GB" w:eastAsia="it-IT"/>
              </w:rPr>
            </w:pPr>
            <w:r>
              <w:rPr>
                <w:rFonts w:eastAsia="Times New Roman" w:cstheme="minorHAnsi"/>
                <w:color w:val="000000"/>
                <w:lang w:val="en-GB" w:eastAsia="it-IT"/>
              </w:rPr>
              <w:t xml:space="preserve">98.3 (98.1, </w:t>
            </w:r>
            <w:r w:rsidRPr="00CE66BE">
              <w:rPr>
                <w:rFonts w:eastAsia="Times New Roman" w:cstheme="minorHAnsi"/>
                <w:color w:val="000000"/>
                <w:lang w:val="en-GB" w:eastAsia="it-IT"/>
              </w:rPr>
              <w:t>98.5)</w:t>
            </w:r>
          </w:p>
        </w:tc>
        <w:tc>
          <w:tcPr>
            <w:tcW w:w="1871" w:type="dxa"/>
            <w:vAlign w:val="center"/>
          </w:tcPr>
          <w:p w14:paraId="198B850D" w14:textId="77777777" w:rsidR="00C40D5E" w:rsidRPr="00CE66BE" w:rsidRDefault="00C40D5E" w:rsidP="00162987">
            <w:pPr>
              <w:spacing w:after="0" w:line="240" w:lineRule="auto"/>
              <w:jc w:val="center"/>
              <w:rPr>
                <w:rFonts w:eastAsia="Times New Roman" w:cstheme="minorHAnsi"/>
                <w:color w:val="000000"/>
                <w:lang w:val="en-GB" w:eastAsia="it-IT"/>
              </w:rPr>
            </w:pPr>
            <w:r w:rsidRPr="00CE66BE">
              <w:rPr>
                <w:rFonts w:eastAsia="Times New Roman" w:cstheme="minorHAnsi"/>
                <w:color w:val="000000"/>
                <w:lang w:val="en-GB" w:eastAsia="it-IT"/>
              </w:rPr>
              <w:t>97.2 (97.0</w:t>
            </w:r>
            <w:r>
              <w:rPr>
                <w:rFonts w:eastAsia="Times New Roman" w:cstheme="minorHAnsi"/>
                <w:color w:val="000000"/>
                <w:lang w:val="en-GB" w:eastAsia="it-IT"/>
              </w:rPr>
              <w:t xml:space="preserve">, </w:t>
            </w:r>
            <w:r w:rsidRPr="00CE66BE">
              <w:rPr>
                <w:rFonts w:eastAsia="Times New Roman" w:cstheme="minorHAnsi"/>
                <w:color w:val="000000"/>
                <w:lang w:val="en-GB" w:eastAsia="it-IT"/>
              </w:rPr>
              <w:t>97.4)</w:t>
            </w:r>
          </w:p>
        </w:tc>
        <w:tc>
          <w:tcPr>
            <w:tcW w:w="1871" w:type="dxa"/>
            <w:vAlign w:val="center"/>
          </w:tcPr>
          <w:p w14:paraId="187C11C3" w14:textId="77777777" w:rsidR="00C40D5E" w:rsidRPr="00CE66BE" w:rsidRDefault="00C40D5E" w:rsidP="00162987">
            <w:pPr>
              <w:spacing w:after="0" w:line="240" w:lineRule="auto"/>
              <w:jc w:val="center"/>
              <w:rPr>
                <w:rFonts w:eastAsia="Times New Roman" w:cstheme="minorHAnsi"/>
                <w:color w:val="000000"/>
                <w:lang w:val="en-GB" w:eastAsia="it-IT"/>
              </w:rPr>
            </w:pPr>
            <w:r w:rsidRPr="00CE66BE">
              <w:rPr>
                <w:rFonts w:eastAsia="Times New Roman" w:cstheme="minorHAnsi"/>
                <w:color w:val="000000"/>
                <w:lang w:val="en-GB" w:eastAsia="it-IT"/>
              </w:rPr>
              <w:t>9</w:t>
            </w:r>
            <w:r>
              <w:rPr>
                <w:rFonts w:eastAsia="Times New Roman" w:cstheme="minorHAnsi"/>
                <w:color w:val="000000"/>
                <w:lang w:val="en-GB" w:eastAsia="it-IT"/>
              </w:rPr>
              <w:t xml:space="preserve">8.9 (98.8, </w:t>
            </w:r>
            <w:r w:rsidRPr="00CE66BE">
              <w:rPr>
                <w:rFonts w:eastAsia="Times New Roman" w:cstheme="minorHAnsi"/>
                <w:color w:val="000000"/>
                <w:lang w:val="en-GB" w:eastAsia="it-IT"/>
              </w:rPr>
              <w:t>99.0)</w:t>
            </w:r>
          </w:p>
        </w:tc>
      </w:tr>
      <w:tr w:rsidR="00C40D5E" w:rsidRPr="00CE66BE" w14:paraId="08DC8B09" w14:textId="77777777" w:rsidTr="00162987">
        <w:trPr>
          <w:trHeight w:val="283"/>
          <w:jc w:val="center"/>
        </w:trPr>
        <w:tc>
          <w:tcPr>
            <w:tcW w:w="3828" w:type="dxa"/>
            <w:shd w:val="clear" w:color="auto" w:fill="auto"/>
            <w:noWrap/>
            <w:vAlign w:val="center"/>
            <w:hideMark/>
          </w:tcPr>
          <w:p w14:paraId="3738ED28" w14:textId="77777777" w:rsidR="00C40D5E" w:rsidRPr="00CE66BE" w:rsidRDefault="00C40D5E" w:rsidP="00162987">
            <w:pPr>
              <w:spacing w:after="0" w:line="240" w:lineRule="auto"/>
              <w:rPr>
                <w:rFonts w:eastAsia="Times New Roman" w:cstheme="minorHAnsi"/>
                <w:color w:val="000000"/>
                <w:lang w:val="en-GB" w:eastAsia="it-IT"/>
              </w:rPr>
            </w:pPr>
            <w:r w:rsidRPr="00CE66BE">
              <w:rPr>
                <w:rFonts w:eastAsia="Times New Roman" w:cstheme="minorHAnsi"/>
                <w:color w:val="000000"/>
                <w:lang w:val="en-GB" w:eastAsia="it-IT"/>
              </w:rPr>
              <w:t>France: Paris</w:t>
            </w:r>
          </w:p>
        </w:tc>
        <w:tc>
          <w:tcPr>
            <w:tcW w:w="1871" w:type="dxa"/>
            <w:vAlign w:val="center"/>
          </w:tcPr>
          <w:p w14:paraId="1DEEF771" w14:textId="77777777" w:rsidR="00C40D5E" w:rsidRPr="00CE66BE" w:rsidRDefault="00C40D5E" w:rsidP="00162987">
            <w:pPr>
              <w:spacing w:after="0" w:line="240" w:lineRule="auto"/>
              <w:jc w:val="center"/>
              <w:rPr>
                <w:rFonts w:eastAsia="Times New Roman" w:cstheme="minorHAnsi"/>
                <w:color w:val="000000"/>
                <w:lang w:val="en-GB" w:eastAsia="it-IT"/>
              </w:rPr>
            </w:pPr>
            <w:r>
              <w:rPr>
                <w:rFonts w:eastAsia="Times New Roman" w:cstheme="minorHAnsi"/>
                <w:color w:val="000000"/>
                <w:lang w:val="en-GB" w:eastAsia="it-IT"/>
              </w:rPr>
              <w:t xml:space="preserve">97.2 (96.7, </w:t>
            </w:r>
            <w:r w:rsidRPr="00CE66BE">
              <w:rPr>
                <w:rFonts w:eastAsia="Times New Roman" w:cstheme="minorHAnsi"/>
                <w:color w:val="000000"/>
                <w:lang w:val="en-GB" w:eastAsia="it-IT"/>
              </w:rPr>
              <w:t>97.6)</w:t>
            </w:r>
          </w:p>
        </w:tc>
        <w:tc>
          <w:tcPr>
            <w:tcW w:w="1871" w:type="dxa"/>
            <w:vAlign w:val="center"/>
          </w:tcPr>
          <w:p w14:paraId="739770B5" w14:textId="77777777" w:rsidR="00C40D5E" w:rsidRPr="00CE66BE" w:rsidRDefault="00C40D5E" w:rsidP="00162987">
            <w:pPr>
              <w:spacing w:after="0" w:line="240" w:lineRule="auto"/>
              <w:jc w:val="center"/>
              <w:rPr>
                <w:rFonts w:eastAsia="Times New Roman" w:cstheme="minorHAnsi"/>
                <w:color w:val="000000"/>
                <w:lang w:val="en-GB" w:eastAsia="it-IT"/>
              </w:rPr>
            </w:pPr>
            <w:r w:rsidRPr="00CE66BE">
              <w:rPr>
                <w:rFonts w:eastAsia="Times New Roman" w:cstheme="minorHAnsi"/>
                <w:color w:val="000000"/>
                <w:lang w:val="en-GB" w:eastAsia="it-IT"/>
              </w:rPr>
              <w:t>9</w:t>
            </w:r>
            <w:r>
              <w:rPr>
                <w:rFonts w:eastAsia="Times New Roman" w:cstheme="minorHAnsi"/>
                <w:color w:val="000000"/>
                <w:lang w:val="en-GB" w:eastAsia="it-IT"/>
              </w:rPr>
              <w:t xml:space="preserve">5.5 (94.9, </w:t>
            </w:r>
            <w:r w:rsidRPr="00CE66BE">
              <w:rPr>
                <w:rFonts w:eastAsia="Times New Roman" w:cstheme="minorHAnsi"/>
                <w:color w:val="000000"/>
                <w:lang w:val="en-GB" w:eastAsia="it-IT"/>
              </w:rPr>
              <w:t>96.0)</w:t>
            </w:r>
          </w:p>
        </w:tc>
        <w:tc>
          <w:tcPr>
            <w:tcW w:w="1871" w:type="dxa"/>
            <w:vAlign w:val="center"/>
          </w:tcPr>
          <w:p w14:paraId="13CBB49C" w14:textId="77777777" w:rsidR="00C40D5E" w:rsidRPr="00CE66BE" w:rsidRDefault="00C40D5E" w:rsidP="00162987">
            <w:pPr>
              <w:spacing w:after="0" w:line="240" w:lineRule="auto"/>
              <w:jc w:val="center"/>
              <w:rPr>
                <w:rFonts w:eastAsia="Times New Roman" w:cstheme="minorHAnsi"/>
                <w:color w:val="000000"/>
                <w:lang w:val="en-GB" w:eastAsia="it-IT"/>
              </w:rPr>
            </w:pPr>
            <w:r>
              <w:rPr>
                <w:rFonts w:eastAsia="Times New Roman" w:cstheme="minorHAnsi"/>
                <w:color w:val="000000"/>
                <w:lang w:val="en-GB" w:eastAsia="it-IT"/>
              </w:rPr>
              <w:t xml:space="preserve">98.3 (97.9, </w:t>
            </w:r>
            <w:r w:rsidRPr="00CE66BE">
              <w:rPr>
                <w:rFonts w:eastAsia="Times New Roman" w:cstheme="minorHAnsi"/>
                <w:color w:val="000000"/>
                <w:lang w:val="en-GB" w:eastAsia="it-IT"/>
              </w:rPr>
              <w:t>98.6)</w:t>
            </w:r>
          </w:p>
        </w:tc>
      </w:tr>
      <w:tr w:rsidR="00C40D5E" w:rsidRPr="00CE66BE" w14:paraId="0E30F49C" w14:textId="77777777" w:rsidTr="00162987">
        <w:trPr>
          <w:trHeight w:val="283"/>
          <w:jc w:val="center"/>
        </w:trPr>
        <w:tc>
          <w:tcPr>
            <w:tcW w:w="3828" w:type="dxa"/>
            <w:shd w:val="clear" w:color="auto" w:fill="auto"/>
            <w:noWrap/>
            <w:vAlign w:val="center"/>
            <w:hideMark/>
          </w:tcPr>
          <w:p w14:paraId="0FCE7AE4" w14:textId="77777777" w:rsidR="00C40D5E" w:rsidRPr="00CE66BE" w:rsidRDefault="00C40D5E" w:rsidP="00162987">
            <w:pPr>
              <w:spacing w:after="0" w:line="240" w:lineRule="auto"/>
              <w:rPr>
                <w:rFonts w:eastAsia="Times New Roman" w:cstheme="minorHAnsi"/>
                <w:color w:val="000000"/>
                <w:lang w:val="en-GB" w:eastAsia="it-IT"/>
              </w:rPr>
            </w:pPr>
            <w:r w:rsidRPr="00CE66BE">
              <w:rPr>
                <w:rFonts w:eastAsia="Times New Roman" w:cstheme="minorHAnsi"/>
                <w:color w:val="000000"/>
                <w:lang w:val="en-GB" w:eastAsia="it-IT"/>
              </w:rPr>
              <w:t>Germany: Saxony-Anhalt</w:t>
            </w:r>
          </w:p>
        </w:tc>
        <w:tc>
          <w:tcPr>
            <w:tcW w:w="1871" w:type="dxa"/>
            <w:vAlign w:val="center"/>
          </w:tcPr>
          <w:p w14:paraId="7F4D2D27" w14:textId="77777777" w:rsidR="00C40D5E" w:rsidRPr="00CE66BE" w:rsidRDefault="00C40D5E" w:rsidP="00162987">
            <w:pPr>
              <w:spacing w:after="0" w:line="240" w:lineRule="auto"/>
              <w:jc w:val="center"/>
              <w:rPr>
                <w:rFonts w:eastAsia="Times New Roman" w:cstheme="minorHAnsi"/>
                <w:color w:val="000000"/>
                <w:lang w:val="en-GB" w:eastAsia="it-IT"/>
              </w:rPr>
            </w:pPr>
            <w:r>
              <w:rPr>
                <w:rFonts w:eastAsia="Times New Roman" w:cstheme="minorHAnsi"/>
                <w:color w:val="000000"/>
                <w:lang w:val="en-GB" w:eastAsia="it-IT"/>
              </w:rPr>
              <w:t xml:space="preserve">98.7 (98.3, </w:t>
            </w:r>
            <w:r w:rsidRPr="00CE66BE">
              <w:rPr>
                <w:rFonts w:eastAsia="Times New Roman" w:cstheme="minorHAnsi"/>
                <w:color w:val="000000"/>
                <w:lang w:val="en-GB" w:eastAsia="it-IT"/>
              </w:rPr>
              <w:t>99.0)</w:t>
            </w:r>
          </w:p>
        </w:tc>
        <w:tc>
          <w:tcPr>
            <w:tcW w:w="1871" w:type="dxa"/>
            <w:vAlign w:val="center"/>
          </w:tcPr>
          <w:p w14:paraId="4ECA3770" w14:textId="77777777" w:rsidR="00C40D5E" w:rsidRPr="00CE66BE" w:rsidRDefault="00C40D5E" w:rsidP="00162987">
            <w:pPr>
              <w:spacing w:after="0" w:line="240" w:lineRule="auto"/>
              <w:jc w:val="center"/>
              <w:rPr>
                <w:rFonts w:eastAsia="Times New Roman" w:cstheme="minorHAnsi"/>
                <w:color w:val="000000"/>
                <w:lang w:val="en-GB" w:eastAsia="it-IT"/>
              </w:rPr>
            </w:pPr>
            <w:r>
              <w:rPr>
                <w:rFonts w:eastAsia="Times New Roman" w:cstheme="minorHAnsi"/>
                <w:color w:val="000000"/>
                <w:lang w:val="en-GB" w:eastAsia="it-IT"/>
              </w:rPr>
              <w:t xml:space="preserve">97.6 (97.1, </w:t>
            </w:r>
            <w:r w:rsidRPr="00CE66BE">
              <w:rPr>
                <w:rFonts w:eastAsia="Times New Roman" w:cstheme="minorHAnsi"/>
                <w:color w:val="000000"/>
                <w:lang w:val="en-GB" w:eastAsia="it-IT"/>
              </w:rPr>
              <w:t>98.0)</w:t>
            </w:r>
          </w:p>
        </w:tc>
        <w:tc>
          <w:tcPr>
            <w:tcW w:w="1871" w:type="dxa"/>
            <w:vAlign w:val="center"/>
          </w:tcPr>
          <w:p w14:paraId="3EBDB0B5" w14:textId="77777777" w:rsidR="00C40D5E" w:rsidRPr="00CE66BE" w:rsidRDefault="00C40D5E" w:rsidP="00162987">
            <w:pPr>
              <w:spacing w:after="0" w:line="240" w:lineRule="auto"/>
              <w:jc w:val="center"/>
              <w:rPr>
                <w:rFonts w:eastAsia="Times New Roman" w:cstheme="minorHAnsi"/>
                <w:color w:val="000000"/>
                <w:lang w:val="en-GB" w:eastAsia="it-IT"/>
              </w:rPr>
            </w:pPr>
            <w:r>
              <w:rPr>
                <w:rFonts w:eastAsia="Times New Roman" w:cstheme="minorHAnsi"/>
                <w:color w:val="000000"/>
                <w:lang w:val="en-GB" w:eastAsia="it-IT"/>
              </w:rPr>
              <w:t xml:space="preserve">98.9 (98.5, </w:t>
            </w:r>
            <w:r w:rsidRPr="00CE66BE">
              <w:rPr>
                <w:rFonts w:eastAsia="Times New Roman" w:cstheme="minorHAnsi"/>
                <w:color w:val="000000"/>
                <w:lang w:val="en-GB" w:eastAsia="it-IT"/>
              </w:rPr>
              <w:t>99.1)</w:t>
            </w:r>
          </w:p>
        </w:tc>
      </w:tr>
      <w:tr w:rsidR="00C40D5E" w:rsidRPr="00CE66BE" w14:paraId="5C3841F8" w14:textId="77777777" w:rsidTr="00162987">
        <w:trPr>
          <w:trHeight w:val="283"/>
          <w:jc w:val="center"/>
        </w:trPr>
        <w:tc>
          <w:tcPr>
            <w:tcW w:w="3828" w:type="dxa"/>
            <w:shd w:val="clear" w:color="auto" w:fill="auto"/>
            <w:noWrap/>
            <w:vAlign w:val="center"/>
            <w:hideMark/>
          </w:tcPr>
          <w:p w14:paraId="0724CAE2" w14:textId="77777777" w:rsidR="00C40D5E" w:rsidRPr="00CE66BE" w:rsidRDefault="00C40D5E" w:rsidP="00162987">
            <w:pPr>
              <w:spacing w:after="0" w:line="240" w:lineRule="auto"/>
              <w:rPr>
                <w:rFonts w:eastAsia="Times New Roman" w:cstheme="minorHAnsi"/>
                <w:color w:val="000000"/>
                <w:lang w:val="en-GB" w:eastAsia="it-IT"/>
              </w:rPr>
            </w:pPr>
            <w:r w:rsidRPr="00CE66BE">
              <w:rPr>
                <w:rFonts w:eastAsia="Times New Roman" w:cstheme="minorHAnsi"/>
                <w:color w:val="000000"/>
                <w:lang w:val="en-GB" w:eastAsia="it-IT"/>
              </w:rPr>
              <w:t>Italy: Emilia Romagna</w:t>
            </w:r>
          </w:p>
        </w:tc>
        <w:tc>
          <w:tcPr>
            <w:tcW w:w="1871" w:type="dxa"/>
            <w:vAlign w:val="center"/>
          </w:tcPr>
          <w:p w14:paraId="2987FB26" w14:textId="77777777" w:rsidR="00C40D5E" w:rsidRPr="00CE66BE" w:rsidRDefault="00C40D5E" w:rsidP="00162987">
            <w:pPr>
              <w:spacing w:after="0" w:line="240" w:lineRule="auto"/>
              <w:jc w:val="center"/>
              <w:rPr>
                <w:rFonts w:eastAsia="Times New Roman" w:cstheme="minorHAnsi"/>
                <w:color w:val="000000"/>
                <w:lang w:val="en-GB" w:eastAsia="it-IT"/>
              </w:rPr>
            </w:pPr>
            <w:r>
              <w:rPr>
                <w:rFonts w:eastAsia="Times New Roman" w:cstheme="minorHAnsi"/>
                <w:color w:val="000000"/>
                <w:lang w:val="en-GB" w:eastAsia="it-IT"/>
              </w:rPr>
              <w:t xml:space="preserve">98.1 (97.7, </w:t>
            </w:r>
            <w:r w:rsidRPr="00CE66BE">
              <w:rPr>
                <w:rFonts w:eastAsia="Times New Roman" w:cstheme="minorHAnsi"/>
                <w:color w:val="000000"/>
                <w:lang w:val="en-GB" w:eastAsia="it-IT"/>
              </w:rPr>
              <w:t>98.4)</w:t>
            </w:r>
          </w:p>
        </w:tc>
        <w:tc>
          <w:tcPr>
            <w:tcW w:w="1871" w:type="dxa"/>
            <w:vAlign w:val="center"/>
          </w:tcPr>
          <w:p w14:paraId="60BA9960" w14:textId="77777777" w:rsidR="00C40D5E" w:rsidRPr="00CE66BE" w:rsidRDefault="00C40D5E" w:rsidP="00162987">
            <w:pPr>
              <w:spacing w:after="0" w:line="240" w:lineRule="auto"/>
              <w:jc w:val="center"/>
              <w:rPr>
                <w:rFonts w:eastAsia="Times New Roman" w:cstheme="minorHAnsi"/>
                <w:color w:val="000000"/>
                <w:lang w:val="en-GB" w:eastAsia="it-IT"/>
              </w:rPr>
            </w:pPr>
            <w:r>
              <w:rPr>
                <w:rFonts w:eastAsia="Times New Roman" w:cstheme="minorHAnsi"/>
                <w:color w:val="000000"/>
                <w:lang w:val="en-GB" w:eastAsia="it-IT"/>
              </w:rPr>
              <w:t xml:space="preserve">96.3 (95.7, </w:t>
            </w:r>
            <w:r w:rsidRPr="00CE66BE">
              <w:rPr>
                <w:rFonts w:eastAsia="Times New Roman" w:cstheme="minorHAnsi"/>
                <w:color w:val="000000"/>
                <w:lang w:val="en-GB" w:eastAsia="it-IT"/>
              </w:rPr>
              <w:t>96.8)</w:t>
            </w:r>
          </w:p>
        </w:tc>
        <w:tc>
          <w:tcPr>
            <w:tcW w:w="1871" w:type="dxa"/>
            <w:vAlign w:val="center"/>
          </w:tcPr>
          <w:p w14:paraId="719AD708" w14:textId="77777777" w:rsidR="00C40D5E" w:rsidRPr="00CE66BE" w:rsidRDefault="00C40D5E" w:rsidP="00162987">
            <w:pPr>
              <w:spacing w:after="0" w:line="240" w:lineRule="auto"/>
              <w:jc w:val="center"/>
              <w:rPr>
                <w:rFonts w:eastAsia="Times New Roman" w:cstheme="minorHAnsi"/>
                <w:color w:val="000000"/>
                <w:lang w:val="en-GB" w:eastAsia="it-IT"/>
              </w:rPr>
            </w:pPr>
            <w:r>
              <w:rPr>
                <w:rFonts w:eastAsia="Times New Roman" w:cstheme="minorHAnsi"/>
                <w:color w:val="000000"/>
                <w:lang w:val="en-GB" w:eastAsia="it-IT"/>
              </w:rPr>
              <w:t xml:space="preserve">98.1 (97.8, </w:t>
            </w:r>
            <w:r w:rsidRPr="00CE66BE">
              <w:rPr>
                <w:rFonts w:eastAsia="Times New Roman" w:cstheme="minorHAnsi"/>
                <w:color w:val="000000"/>
                <w:lang w:val="en-GB" w:eastAsia="it-IT"/>
              </w:rPr>
              <w:t>98.5)</w:t>
            </w:r>
          </w:p>
        </w:tc>
      </w:tr>
      <w:tr w:rsidR="00C40D5E" w:rsidRPr="00CE66BE" w14:paraId="7FCB5573" w14:textId="77777777" w:rsidTr="00162987">
        <w:trPr>
          <w:trHeight w:val="283"/>
          <w:jc w:val="center"/>
        </w:trPr>
        <w:tc>
          <w:tcPr>
            <w:tcW w:w="3828" w:type="dxa"/>
            <w:shd w:val="clear" w:color="auto" w:fill="auto"/>
            <w:noWrap/>
            <w:vAlign w:val="center"/>
            <w:hideMark/>
          </w:tcPr>
          <w:p w14:paraId="7547AEDE" w14:textId="77777777" w:rsidR="00C40D5E" w:rsidRPr="00CE66BE" w:rsidRDefault="00C40D5E" w:rsidP="00162987">
            <w:pPr>
              <w:spacing w:after="0" w:line="240" w:lineRule="auto"/>
              <w:rPr>
                <w:rFonts w:eastAsia="Times New Roman" w:cstheme="minorHAnsi"/>
                <w:color w:val="000000"/>
                <w:lang w:val="en-GB" w:eastAsia="it-IT"/>
              </w:rPr>
            </w:pPr>
            <w:r w:rsidRPr="00CE66BE">
              <w:rPr>
                <w:rFonts w:eastAsia="Times New Roman" w:cstheme="minorHAnsi"/>
                <w:color w:val="000000"/>
                <w:lang w:val="en-GB" w:eastAsia="it-IT"/>
              </w:rPr>
              <w:t>Italy: Tuscany</w:t>
            </w:r>
          </w:p>
        </w:tc>
        <w:tc>
          <w:tcPr>
            <w:tcW w:w="1871" w:type="dxa"/>
            <w:vAlign w:val="center"/>
          </w:tcPr>
          <w:p w14:paraId="5A0C6A71" w14:textId="77777777" w:rsidR="00C40D5E" w:rsidRPr="00CE66BE" w:rsidRDefault="00C40D5E" w:rsidP="00162987">
            <w:pPr>
              <w:spacing w:after="0" w:line="240" w:lineRule="auto"/>
              <w:jc w:val="center"/>
              <w:rPr>
                <w:rFonts w:eastAsia="Times New Roman" w:cstheme="minorHAnsi"/>
                <w:color w:val="000000"/>
                <w:lang w:val="en-GB" w:eastAsia="it-IT"/>
              </w:rPr>
            </w:pPr>
            <w:r>
              <w:rPr>
                <w:rFonts w:eastAsia="Times New Roman" w:cstheme="minorHAnsi"/>
                <w:color w:val="000000"/>
                <w:lang w:val="en-GB" w:eastAsia="it-IT"/>
              </w:rPr>
              <w:t xml:space="preserve">98.4 (97.9, </w:t>
            </w:r>
            <w:r w:rsidRPr="00CE66BE">
              <w:rPr>
                <w:rFonts w:eastAsia="Times New Roman" w:cstheme="minorHAnsi"/>
                <w:color w:val="000000"/>
                <w:lang w:val="en-GB" w:eastAsia="it-IT"/>
              </w:rPr>
              <w:t>98.7)</w:t>
            </w:r>
          </w:p>
        </w:tc>
        <w:tc>
          <w:tcPr>
            <w:tcW w:w="1871" w:type="dxa"/>
            <w:vAlign w:val="center"/>
          </w:tcPr>
          <w:p w14:paraId="295C4B31" w14:textId="77777777" w:rsidR="00C40D5E" w:rsidRPr="00CE66BE" w:rsidRDefault="00C40D5E" w:rsidP="00162987">
            <w:pPr>
              <w:spacing w:after="0" w:line="240" w:lineRule="auto"/>
              <w:jc w:val="center"/>
              <w:rPr>
                <w:rFonts w:eastAsia="Times New Roman" w:cstheme="minorHAnsi"/>
                <w:color w:val="000000"/>
                <w:lang w:val="en-GB" w:eastAsia="it-IT"/>
              </w:rPr>
            </w:pPr>
            <w:r>
              <w:rPr>
                <w:rFonts w:eastAsia="Times New Roman" w:cstheme="minorHAnsi"/>
                <w:color w:val="000000"/>
                <w:lang w:val="en-GB" w:eastAsia="it-IT"/>
              </w:rPr>
              <w:t xml:space="preserve">96.6 (96.0, </w:t>
            </w:r>
            <w:r w:rsidRPr="00CE66BE">
              <w:rPr>
                <w:rFonts w:eastAsia="Times New Roman" w:cstheme="minorHAnsi"/>
                <w:color w:val="000000"/>
                <w:lang w:val="en-GB" w:eastAsia="it-IT"/>
              </w:rPr>
              <w:t>97.1)</w:t>
            </w:r>
          </w:p>
        </w:tc>
        <w:tc>
          <w:tcPr>
            <w:tcW w:w="1871" w:type="dxa"/>
            <w:vAlign w:val="center"/>
          </w:tcPr>
          <w:p w14:paraId="54BD5DFB" w14:textId="77777777" w:rsidR="00C40D5E" w:rsidRPr="00CE66BE" w:rsidRDefault="00C40D5E" w:rsidP="00162987">
            <w:pPr>
              <w:spacing w:after="0" w:line="240" w:lineRule="auto"/>
              <w:jc w:val="center"/>
              <w:rPr>
                <w:rFonts w:eastAsia="Times New Roman" w:cstheme="minorHAnsi"/>
                <w:color w:val="000000"/>
                <w:lang w:val="en-GB" w:eastAsia="it-IT"/>
              </w:rPr>
            </w:pPr>
            <w:r>
              <w:rPr>
                <w:rFonts w:eastAsia="Times New Roman" w:cstheme="minorHAnsi"/>
                <w:color w:val="000000"/>
                <w:lang w:val="en-GB" w:eastAsia="it-IT"/>
              </w:rPr>
              <w:t xml:space="preserve">98.2 (97.7, </w:t>
            </w:r>
            <w:r w:rsidRPr="00CE66BE">
              <w:rPr>
                <w:rFonts w:eastAsia="Times New Roman" w:cstheme="minorHAnsi"/>
                <w:color w:val="000000"/>
                <w:lang w:val="en-GB" w:eastAsia="it-IT"/>
              </w:rPr>
              <w:t>98.5)</w:t>
            </w:r>
          </w:p>
        </w:tc>
      </w:tr>
      <w:tr w:rsidR="00C40D5E" w:rsidRPr="00CE66BE" w14:paraId="5BDD61CD" w14:textId="77777777" w:rsidTr="00162987">
        <w:trPr>
          <w:trHeight w:val="283"/>
          <w:jc w:val="center"/>
        </w:trPr>
        <w:tc>
          <w:tcPr>
            <w:tcW w:w="3828" w:type="dxa"/>
            <w:shd w:val="clear" w:color="auto" w:fill="auto"/>
            <w:noWrap/>
            <w:vAlign w:val="center"/>
            <w:hideMark/>
          </w:tcPr>
          <w:p w14:paraId="369A12DD" w14:textId="77777777" w:rsidR="00C40D5E" w:rsidRPr="00CE66BE" w:rsidRDefault="00C40D5E" w:rsidP="00162987">
            <w:pPr>
              <w:spacing w:after="0" w:line="240" w:lineRule="auto"/>
              <w:rPr>
                <w:rFonts w:eastAsia="Times New Roman" w:cstheme="minorHAnsi"/>
                <w:color w:val="000000"/>
                <w:lang w:val="en-GB" w:eastAsia="it-IT"/>
              </w:rPr>
            </w:pPr>
            <w:r w:rsidRPr="00CE66BE">
              <w:rPr>
                <w:rFonts w:eastAsia="Times New Roman" w:cstheme="minorHAnsi"/>
                <w:color w:val="000000"/>
                <w:lang w:val="en-GB" w:eastAsia="it-IT"/>
              </w:rPr>
              <w:t>Malta*</w:t>
            </w:r>
          </w:p>
        </w:tc>
        <w:tc>
          <w:tcPr>
            <w:tcW w:w="1871" w:type="dxa"/>
            <w:vAlign w:val="center"/>
          </w:tcPr>
          <w:p w14:paraId="4FD28C50" w14:textId="77777777" w:rsidR="00C40D5E" w:rsidRPr="00CE66BE" w:rsidRDefault="00C40D5E" w:rsidP="00162987">
            <w:pPr>
              <w:spacing w:after="0" w:line="240" w:lineRule="auto"/>
              <w:jc w:val="center"/>
              <w:rPr>
                <w:rFonts w:eastAsia="Times New Roman" w:cstheme="minorHAnsi"/>
                <w:color w:val="000000"/>
                <w:lang w:val="en-GB" w:eastAsia="it-IT"/>
              </w:rPr>
            </w:pPr>
            <w:r w:rsidRPr="00CE66BE">
              <w:rPr>
                <w:rFonts w:eastAsia="Times New Roman" w:cstheme="minorHAnsi"/>
                <w:color w:val="000000"/>
                <w:lang w:val="en-GB" w:eastAsia="it-IT"/>
              </w:rPr>
              <w:t>93.5 (92.0</w:t>
            </w:r>
            <w:r>
              <w:rPr>
                <w:rFonts w:eastAsia="Times New Roman" w:cstheme="minorHAnsi"/>
                <w:color w:val="000000"/>
                <w:lang w:val="en-GB" w:eastAsia="it-IT"/>
              </w:rPr>
              <w:t xml:space="preserve">, </w:t>
            </w:r>
            <w:r w:rsidRPr="00CE66BE">
              <w:rPr>
                <w:rFonts w:eastAsia="Times New Roman" w:cstheme="minorHAnsi"/>
                <w:color w:val="000000"/>
                <w:lang w:val="en-GB" w:eastAsia="it-IT"/>
              </w:rPr>
              <w:t>94.8)</w:t>
            </w:r>
          </w:p>
        </w:tc>
        <w:tc>
          <w:tcPr>
            <w:tcW w:w="1871" w:type="dxa"/>
            <w:vAlign w:val="center"/>
          </w:tcPr>
          <w:p w14:paraId="5B5DC5B5" w14:textId="77777777" w:rsidR="00C40D5E" w:rsidRPr="00CE66BE" w:rsidRDefault="00C40D5E" w:rsidP="00162987">
            <w:pPr>
              <w:spacing w:after="0" w:line="240" w:lineRule="auto"/>
              <w:jc w:val="center"/>
              <w:rPr>
                <w:rFonts w:eastAsia="Times New Roman" w:cstheme="minorHAnsi"/>
                <w:color w:val="000000"/>
                <w:lang w:val="en-GB" w:eastAsia="it-IT"/>
              </w:rPr>
            </w:pPr>
            <w:r w:rsidRPr="00CE66BE">
              <w:rPr>
                <w:rFonts w:eastAsia="Times New Roman" w:cstheme="minorHAnsi"/>
                <w:color w:val="000000"/>
                <w:lang w:val="en-GB" w:eastAsia="it-IT"/>
              </w:rPr>
              <w:t>9</w:t>
            </w:r>
            <w:r>
              <w:rPr>
                <w:rFonts w:eastAsia="Times New Roman" w:cstheme="minorHAnsi"/>
                <w:color w:val="000000"/>
                <w:lang w:val="en-GB" w:eastAsia="it-IT"/>
              </w:rPr>
              <w:t xml:space="preserve">0.6 (88.7, </w:t>
            </w:r>
            <w:r w:rsidRPr="00CE66BE">
              <w:rPr>
                <w:rFonts w:eastAsia="Times New Roman" w:cstheme="minorHAnsi"/>
                <w:color w:val="000000"/>
                <w:lang w:val="en-GB" w:eastAsia="it-IT"/>
              </w:rPr>
              <w:t>92.1)</w:t>
            </w:r>
          </w:p>
        </w:tc>
        <w:tc>
          <w:tcPr>
            <w:tcW w:w="1871" w:type="dxa"/>
            <w:vAlign w:val="center"/>
          </w:tcPr>
          <w:p w14:paraId="37769921" w14:textId="77777777" w:rsidR="00C40D5E" w:rsidRPr="00CE66BE" w:rsidRDefault="00C40D5E" w:rsidP="00162987">
            <w:pPr>
              <w:spacing w:after="0" w:line="240" w:lineRule="auto"/>
              <w:jc w:val="center"/>
              <w:rPr>
                <w:rFonts w:eastAsia="Times New Roman" w:cstheme="minorHAnsi"/>
                <w:color w:val="000000"/>
                <w:lang w:val="en-GB" w:eastAsia="it-IT"/>
              </w:rPr>
            </w:pPr>
            <w:r>
              <w:rPr>
                <w:rFonts w:eastAsia="Times New Roman" w:cstheme="minorHAnsi"/>
                <w:color w:val="000000"/>
                <w:lang w:val="en-GB" w:eastAsia="it-IT"/>
              </w:rPr>
              <w:t xml:space="preserve">96.8 (95.6, </w:t>
            </w:r>
            <w:r w:rsidRPr="00CE66BE">
              <w:rPr>
                <w:rFonts w:eastAsia="Times New Roman" w:cstheme="minorHAnsi"/>
                <w:color w:val="000000"/>
                <w:lang w:val="en-GB" w:eastAsia="it-IT"/>
              </w:rPr>
              <w:t>97.7)</w:t>
            </w:r>
          </w:p>
        </w:tc>
      </w:tr>
      <w:tr w:rsidR="00C40D5E" w:rsidRPr="00CE66BE" w14:paraId="4DB3AF0E" w14:textId="77777777" w:rsidTr="00162987">
        <w:trPr>
          <w:trHeight w:val="283"/>
          <w:jc w:val="center"/>
        </w:trPr>
        <w:tc>
          <w:tcPr>
            <w:tcW w:w="3828" w:type="dxa"/>
            <w:shd w:val="clear" w:color="auto" w:fill="auto"/>
            <w:noWrap/>
            <w:vAlign w:val="center"/>
            <w:hideMark/>
          </w:tcPr>
          <w:p w14:paraId="56FDD501" w14:textId="77777777" w:rsidR="00C40D5E" w:rsidRPr="00CE66BE" w:rsidRDefault="00C40D5E" w:rsidP="00162987">
            <w:pPr>
              <w:spacing w:after="0" w:line="240" w:lineRule="auto"/>
              <w:rPr>
                <w:rFonts w:eastAsia="Times New Roman" w:cstheme="minorHAnsi"/>
                <w:color w:val="000000"/>
                <w:lang w:eastAsia="it-IT"/>
              </w:rPr>
            </w:pPr>
            <w:r w:rsidRPr="00CE66BE">
              <w:rPr>
                <w:rFonts w:eastAsia="Times New Roman" w:cstheme="minorHAnsi"/>
                <w:color w:val="000000"/>
                <w:lang w:eastAsia="it-IT"/>
              </w:rPr>
              <w:t xml:space="preserve">Netherlands: </w:t>
            </w:r>
            <w:proofErr w:type="spellStart"/>
            <w:r w:rsidRPr="00CE66BE">
              <w:rPr>
                <w:rFonts w:eastAsia="Times New Roman" w:cstheme="minorHAnsi"/>
                <w:color w:val="000000"/>
                <w:lang w:eastAsia="it-IT"/>
              </w:rPr>
              <w:t>Northern</w:t>
            </w:r>
            <w:proofErr w:type="spellEnd"/>
          </w:p>
        </w:tc>
        <w:tc>
          <w:tcPr>
            <w:tcW w:w="1871" w:type="dxa"/>
            <w:vAlign w:val="center"/>
          </w:tcPr>
          <w:p w14:paraId="62E177E7" w14:textId="77777777" w:rsidR="00C40D5E" w:rsidRPr="00CE66BE" w:rsidRDefault="00C40D5E" w:rsidP="00162987">
            <w:pPr>
              <w:spacing w:after="0" w:line="240" w:lineRule="auto"/>
              <w:jc w:val="center"/>
              <w:rPr>
                <w:rFonts w:eastAsia="Times New Roman" w:cstheme="minorHAnsi"/>
                <w:color w:val="000000"/>
                <w:lang w:eastAsia="it-IT"/>
              </w:rPr>
            </w:pPr>
            <w:r>
              <w:rPr>
                <w:rFonts w:eastAsia="Times New Roman" w:cstheme="minorHAnsi"/>
                <w:color w:val="000000"/>
                <w:lang w:eastAsia="it-IT"/>
              </w:rPr>
              <w:t xml:space="preserve">96.9 (96.3, </w:t>
            </w:r>
            <w:r w:rsidRPr="00CE66BE">
              <w:rPr>
                <w:rFonts w:eastAsia="Times New Roman" w:cstheme="minorHAnsi"/>
                <w:color w:val="000000"/>
                <w:lang w:eastAsia="it-IT"/>
              </w:rPr>
              <w:t>97.4)</w:t>
            </w:r>
          </w:p>
        </w:tc>
        <w:tc>
          <w:tcPr>
            <w:tcW w:w="1871" w:type="dxa"/>
            <w:vAlign w:val="center"/>
          </w:tcPr>
          <w:p w14:paraId="7EC1D260" w14:textId="77777777" w:rsidR="00C40D5E" w:rsidRPr="00CE66BE" w:rsidRDefault="00C40D5E" w:rsidP="00162987">
            <w:pPr>
              <w:spacing w:after="0" w:line="240" w:lineRule="auto"/>
              <w:jc w:val="center"/>
              <w:rPr>
                <w:rFonts w:eastAsia="Times New Roman" w:cstheme="minorHAnsi"/>
                <w:color w:val="000000"/>
                <w:lang w:eastAsia="it-IT"/>
              </w:rPr>
            </w:pPr>
            <w:r>
              <w:rPr>
                <w:rFonts w:eastAsia="Times New Roman" w:cstheme="minorHAnsi"/>
                <w:color w:val="000000"/>
                <w:lang w:eastAsia="it-IT"/>
              </w:rPr>
              <w:t xml:space="preserve">94.8 (94.0, </w:t>
            </w:r>
            <w:r w:rsidRPr="00CE66BE">
              <w:rPr>
                <w:rFonts w:eastAsia="Times New Roman" w:cstheme="minorHAnsi"/>
                <w:color w:val="000000"/>
                <w:lang w:eastAsia="it-IT"/>
              </w:rPr>
              <w:t>95.4)</w:t>
            </w:r>
          </w:p>
        </w:tc>
        <w:tc>
          <w:tcPr>
            <w:tcW w:w="1871" w:type="dxa"/>
            <w:vAlign w:val="center"/>
          </w:tcPr>
          <w:p w14:paraId="6CB09792" w14:textId="77777777" w:rsidR="00C40D5E" w:rsidRPr="00CE66BE" w:rsidRDefault="00C40D5E" w:rsidP="00162987">
            <w:pPr>
              <w:spacing w:after="0" w:line="240" w:lineRule="auto"/>
              <w:jc w:val="center"/>
              <w:rPr>
                <w:rFonts w:eastAsia="Times New Roman" w:cstheme="minorHAnsi"/>
                <w:color w:val="000000"/>
                <w:lang w:eastAsia="it-IT"/>
              </w:rPr>
            </w:pPr>
            <w:r>
              <w:rPr>
                <w:rFonts w:eastAsia="Times New Roman" w:cstheme="minorHAnsi"/>
                <w:color w:val="000000"/>
                <w:lang w:eastAsia="it-IT"/>
              </w:rPr>
              <w:t xml:space="preserve">97.8 (97.3, </w:t>
            </w:r>
            <w:r w:rsidRPr="00CE66BE">
              <w:rPr>
                <w:rFonts w:eastAsia="Times New Roman" w:cstheme="minorHAnsi"/>
                <w:color w:val="000000"/>
                <w:lang w:eastAsia="it-IT"/>
              </w:rPr>
              <w:t>98.3)</w:t>
            </w:r>
          </w:p>
        </w:tc>
      </w:tr>
      <w:tr w:rsidR="00C40D5E" w:rsidRPr="00CE66BE" w14:paraId="3D2D6687" w14:textId="77777777" w:rsidTr="00162987">
        <w:trPr>
          <w:trHeight w:val="283"/>
          <w:jc w:val="center"/>
        </w:trPr>
        <w:tc>
          <w:tcPr>
            <w:tcW w:w="3828" w:type="dxa"/>
            <w:shd w:val="clear" w:color="auto" w:fill="auto"/>
            <w:noWrap/>
            <w:vAlign w:val="center"/>
            <w:hideMark/>
          </w:tcPr>
          <w:p w14:paraId="014F7F09" w14:textId="77777777" w:rsidR="00C40D5E" w:rsidRPr="00CE66BE" w:rsidRDefault="00C40D5E" w:rsidP="00162987">
            <w:pPr>
              <w:spacing w:after="0" w:line="240" w:lineRule="auto"/>
              <w:rPr>
                <w:rFonts w:eastAsia="Times New Roman" w:cstheme="minorHAnsi"/>
                <w:color w:val="000000"/>
                <w:lang w:eastAsia="it-IT"/>
              </w:rPr>
            </w:pPr>
            <w:proofErr w:type="spellStart"/>
            <w:r w:rsidRPr="00CE66BE">
              <w:rPr>
                <w:rFonts w:eastAsia="Times New Roman" w:cstheme="minorHAnsi"/>
                <w:color w:val="000000"/>
                <w:lang w:eastAsia="it-IT"/>
              </w:rPr>
              <w:t>Norway</w:t>
            </w:r>
            <w:proofErr w:type="spellEnd"/>
          </w:p>
        </w:tc>
        <w:tc>
          <w:tcPr>
            <w:tcW w:w="1871" w:type="dxa"/>
            <w:vAlign w:val="center"/>
          </w:tcPr>
          <w:p w14:paraId="61C932AA" w14:textId="77777777" w:rsidR="00C40D5E" w:rsidRPr="00CE66BE" w:rsidRDefault="00C40D5E" w:rsidP="00162987">
            <w:pPr>
              <w:spacing w:after="0" w:line="240" w:lineRule="auto"/>
              <w:jc w:val="center"/>
              <w:rPr>
                <w:rFonts w:eastAsia="Times New Roman" w:cstheme="minorHAnsi"/>
                <w:color w:val="000000"/>
                <w:lang w:eastAsia="it-IT"/>
              </w:rPr>
            </w:pPr>
            <w:r w:rsidRPr="00CE66BE">
              <w:rPr>
                <w:rFonts w:eastAsia="Times New Roman" w:cstheme="minorHAnsi"/>
                <w:color w:val="000000"/>
                <w:lang w:eastAsia="it-IT"/>
              </w:rPr>
              <w:t>97.8 (97.6</w:t>
            </w:r>
            <w:r>
              <w:rPr>
                <w:rFonts w:eastAsia="Times New Roman" w:cstheme="minorHAnsi"/>
                <w:color w:val="000000"/>
                <w:lang w:eastAsia="it-IT"/>
              </w:rPr>
              <w:t xml:space="preserve">, </w:t>
            </w:r>
            <w:r w:rsidRPr="00CE66BE">
              <w:rPr>
                <w:rFonts w:eastAsia="Times New Roman" w:cstheme="minorHAnsi"/>
                <w:color w:val="000000"/>
                <w:lang w:eastAsia="it-IT"/>
              </w:rPr>
              <w:t>98.0)</w:t>
            </w:r>
          </w:p>
        </w:tc>
        <w:tc>
          <w:tcPr>
            <w:tcW w:w="1871" w:type="dxa"/>
            <w:vAlign w:val="center"/>
          </w:tcPr>
          <w:p w14:paraId="7EA99F03" w14:textId="77777777" w:rsidR="00C40D5E" w:rsidRPr="00CE66BE" w:rsidRDefault="00C40D5E" w:rsidP="00162987">
            <w:pPr>
              <w:spacing w:after="0" w:line="240" w:lineRule="auto"/>
              <w:jc w:val="center"/>
              <w:rPr>
                <w:rFonts w:eastAsia="Times New Roman" w:cstheme="minorHAnsi"/>
                <w:color w:val="000000"/>
                <w:lang w:eastAsia="it-IT"/>
              </w:rPr>
            </w:pPr>
            <w:r w:rsidRPr="00CE66BE">
              <w:rPr>
                <w:rFonts w:eastAsia="Times New Roman" w:cstheme="minorHAnsi"/>
                <w:color w:val="000000"/>
                <w:lang w:eastAsia="it-IT"/>
              </w:rPr>
              <w:t>9</w:t>
            </w:r>
            <w:r>
              <w:rPr>
                <w:rFonts w:eastAsia="Times New Roman" w:cstheme="minorHAnsi"/>
                <w:color w:val="000000"/>
                <w:lang w:eastAsia="it-IT"/>
              </w:rPr>
              <w:t xml:space="preserve">6.3 (95.9, </w:t>
            </w:r>
            <w:r w:rsidRPr="00CE66BE">
              <w:rPr>
                <w:rFonts w:eastAsia="Times New Roman" w:cstheme="minorHAnsi"/>
                <w:color w:val="000000"/>
                <w:lang w:eastAsia="it-IT"/>
              </w:rPr>
              <w:t>96.6)</w:t>
            </w:r>
          </w:p>
        </w:tc>
        <w:tc>
          <w:tcPr>
            <w:tcW w:w="1871" w:type="dxa"/>
            <w:vAlign w:val="center"/>
          </w:tcPr>
          <w:p w14:paraId="4C463A0A" w14:textId="77777777" w:rsidR="00C40D5E" w:rsidRPr="00CE66BE" w:rsidRDefault="00C40D5E" w:rsidP="00162987">
            <w:pPr>
              <w:spacing w:after="0" w:line="240" w:lineRule="auto"/>
              <w:jc w:val="center"/>
              <w:rPr>
                <w:rFonts w:eastAsia="Times New Roman" w:cstheme="minorHAnsi"/>
                <w:color w:val="000000"/>
                <w:lang w:eastAsia="it-IT"/>
              </w:rPr>
            </w:pPr>
            <w:r>
              <w:rPr>
                <w:rFonts w:eastAsia="Times New Roman" w:cstheme="minorHAnsi"/>
                <w:color w:val="000000"/>
                <w:lang w:eastAsia="it-IT"/>
              </w:rPr>
              <w:t xml:space="preserve">98.4 (98.2, </w:t>
            </w:r>
            <w:r w:rsidRPr="00CE66BE">
              <w:rPr>
                <w:rFonts w:eastAsia="Times New Roman" w:cstheme="minorHAnsi"/>
                <w:color w:val="000000"/>
                <w:lang w:eastAsia="it-IT"/>
              </w:rPr>
              <w:t>98.6)</w:t>
            </w:r>
          </w:p>
        </w:tc>
      </w:tr>
      <w:tr w:rsidR="00C40D5E" w:rsidRPr="00CE66BE" w14:paraId="76361045" w14:textId="77777777" w:rsidTr="00162987">
        <w:trPr>
          <w:trHeight w:val="283"/>
          <w:jc w:val="center"/>
        </w:trPr>
        <w:tc>
          <w:tcPr>
            <w:tcW w:w="3828" w:type="dxa"/>
            <w:shd w:val="clear" w:color="auto" w:fill="auto"/>
            <w:noWrap/>
            <w:vAlign w:val="center"/>
            <w:hideMark/>
          </w:tcPr>
          <w:p w14:paraId="11C31B2B" w14:textId="77777777" w:rsidR="00C40D5E" w:rsidRPr="00CE66BE" w:rsidRDefault="00C40D5E" w:rsidP="00162987">
            <w:pPr>
              <w:spacing w:after="0" w:line="240" w:lineRule="auto"/>
              <w:rPr>
                <w:rFonts w:eastAsia="Times New Roman" w:cstheme="minorHAnsi"/>
                <w:color w:val="000000"/>
                <w:lang w:eastAsia="it-IT"/>
              </w:rPr>
            </w:pPr>
            <w:proofErr w:type="spellStart"/>
            <w:r w:rsidRPr="00CE66BE">
              <w:rPr>
                <w:rFonts w:eastAsia="Times New Roman" w:cstheme="minorHAnsi"/>
                <w:color w:val="000000"/>
                <w:lang w:eastAsia="it-IT"/>
              </w:rPr>
              <w:t>Spain</w:t>
            </w:r>
            <w:proofErr w:type="spellEnd"/>
            <w:r w:rsidRPr="00CE66BE">
              <w:rPr>
                <w:rFonts w:eastAsia="Times New Roman" w:cstheme="minorHAnsi"/>
                <w:color w:val="000000"/>
                <w:lang w:eastAsia="it-IT"/>
              </w:rPr>
              <w:t xml:space="preserve">: </w:t>
            </w:r>
            <w:proofErr w:type="spellStart"/>
            <w:r w:rsidRPr="00CE66BE">
              <w:rPr>
                <w:rFonts w:eastAsia="Times New Roman" w:cstheme="minorHAnsi"/>
                <w:color w:val="000000"/>
                <w:lang w:eastAsia="it-IT"/>
              </w:rPr>
              <w:t>Basque</w:t>
            </w:r>
            <w:proofErr w:type="spellEnd"/>
            <w:r w:rsidRPr="00CE66BE">
              <w:rPr>
                <w:rFonts w:eastAsia="Times New Roman" w:cstheme="minorHAnsi"/>
                <w:color w:val="000000"/>
                <w:lang w:eastAsia="it-IT"/>
              </w:rPr>
              <w:t xml:space="preserve"> Country</w:t>
            </w:r>
          </w:p>
        </w:tc>
        <w:tc>
          <w:tcPr>
            <w:tcW w:w="1871" w:type="dxa"/>
            <w:vAlign w:val="center"/>
          </w:tcPr>
          <w:p w14:paraId="04F5F719" w14:textId="77777777" w:rsidR="00C40D5E" w:rsidRPr="00CE66BE" w:rsidRDefault="00C40D5E" w:rsidP="00162987">
            <w:pPr>
              <w:spacing w:after="0" w:line="240" w:lineRule="auto"/>
              <w:jc w:val="center"/>
              <w:rPr>
                <w:rFonts w:eastAsia="Times New Roman" w:cstheme="minorHAnsi"/>
                <w:color w:val="000000"/>
                <w:lang w:eastAsia="it-IT"/>
              </w:rPr>
            </w:pPr>
            <w:r w:rsidRPr="00CE66BE">
              <w:rPr>
                <w:rFonts w:eastAsia="Times New Roman" w:cstheme="minorHAnsi"/>
                <w:color w:val="000000"/>
                <w:lang w:eastAsia="it-IT"/>
              </w:rPr>
              <w:t>97.7 (97.1</w:t>
            </w:r>
            <w:r>
              <w:rPr>
                <w:rFonts w:eastAsia="Times New Roman" w:cstheme="minorHAnsi"/>
                <w:color w:val="000000"/>
                <w:lang w:eastAsia="it-IT"/>
              </w:rPr>
              <w:t xml:space="preserve">, </w:t>
            </w:r>
            <w:r w:rsidRPr="00CE66BE">
              <w:rPr>
                <w:rFonts w:eastAsia="Times New Roman" w:cstheme="minorHAnsi"/>
                <w:color w:val="000000"/>
                <w:lang w:eastAsia="it-IT"/>
              </w:rPr>
              <w:t>98.1)</w:t>
            </w:r>
          </w:p>
        </w:tc>
        <w:tc>
          <w:tcPr>
            <w:tcW w:w="1871" w:type="dxa"/>
            <w:vAlign w:val="center"/>
          </w:tcPr>
          <w:p w14:paraId="6B152F94" w14:textId="77777777" w:rsidR="00C40D5E" w:rsidRPr="00CE66BE" w:rsidRDefault="00C40D5E" w:rsidP="00162987">
            <w:pPr>
              <w:spacing w:after="0" w:line="240" w:lineRule="auto"/>
              <w:jc w:val="center"/>
              <w:rPr>
                <w:rFonts w:eastAsia="Times New Roman" w:cstheme="minorHAnsi"/>
                <w:color w:val="000000"/>
                <w:lang w:eastAsia="it-IT"/>
              </w:rPr>
            </w:pPr>
            <w:r w:rsidRPr="00CE66BE">
              <w:rPr>
                <w:rFonts w:eastAsia="Times New Roman" w:cstheme="minorHAnsi"/>
                <w:color w:val="000000"/>
                <w:lang w:eastAsia="it-IT"/>
              </w:rPr>
              <w:t>9</w:t>
            </w:r>
            <w:r>
              <w:rPr>
                <w:rFonts w:eastAsia="Times New Roman" w:cstheme="minorHAnsi"/>
                <w:color w:val="000000"/>
                <w:lang w:eastAsia="it-IT"/>
              </w:rPr>
              <w:t xml:space="preserve">5.3 (94.5, </w:t>
            </w:r>
            <w:r w:rsidRPr="00CE66BE">
              <w:rPr>
                <w:rFonts w:eastAsia="Times New Roman" w:cstheme="minorHAnsi"/>
                <w:color w:val="000000"/>
                <w:lang w:eastAsia="it-IT"/>
              </w:rPr>
              <w:t>95.9)</w:t>
            </w:r>
          </w:p>
        </w:tc>
        <w:tc>
          <w:tcPr>
            <w:tcW w:w="1871" w:type="dxa"/>
            <w:vAlign w:val="center"/>
          </w:tcPr>
          <w:p w14:paraId="26CF3522" w14:textId="77777777" w:rsidR="00C40D5E" w:rsidRPr="00CE66BE" w:rsidRDefault="00C40D5E" w:rsidP="00162987">
            <w:pPr>
              <w:spacing w:after="0" w:line="240" w:lineRule="auto"/>
              <w:jc w:val="center"/>
              <w:rPr>
                <w:rFonts w:eastAsia="Times New Roman" w:cstheme="minorHAnsi"/>
                <w:color w:val="000000"/>
                <w:lang w:eastAsia="it-IT"/>
              </w:rPr>
            </w:pPr>
            <w:r>
              <w:rPr>
                <w:rFonts w:eastAsia="Times New Roman" w:cstheme="minorHAnsi"/>
                <w:color w:val="000000"/>
                <w:lang w:eastAsia="it-IT"/>
              </w:rPr>
              <w:t xml:space="preserve">97.6 (97.0, </w:t>
            </w:r>
            <w:r w:rsidRPr="00CE66BE">
              <w:rPr>
                <w:rFonts w:eastAsia="Times New Roman" w:cstheme="minorHAnsi"/>
                <w:color w:val="000000"/>
                <w:lang w:eastAsia="it-IT"/>
              </w:rPr>
              <w:t>98.0)</w:t>
            </w:r>
          </w:p>
        </w:tc>
      </w:tr>
      <w:tr w:rsidR="00C40D5E" w:rsidRPr="00CE66BE" w14:paraId="0D498B0B" w14:textId="77777777" w:rsidTr="00162987">
        <w:trPr>
          <w:trHeight w:val="283"/>
          <w:jc w:val="center"/>
        </w:trPr>
        <w:tc>
          <w:tcPr>
            <w:tcW w:w="3828" w:type="dxa"/>
            <w:shd w:val="clear" w:color="auto" w:fill="auto"/>
            <w:noWrap/>
            <w:vAlign w:val="center"/>
            <w:hideMark/>
          </w:tcPr>
          <w:p w14:paraId="131B2CBE" w14:textId="77777777" w:rsidR="00C40D5E" w:rsidRPr="00CE66BE" w:rsidRDefault="00C40D5E" w:rsidP="00162987">
            <w:pPr>
              <w:spacing w:after="0" w:line="240" w:lineRule="auto"/>
              <w:rPr>
                <w:rFonts w:eastAsia="Times New Roman" w:cstheme="minorHAnsi"/>
                <w:color w:val="000000"/>
                <w:lang w:eastAsia="it-IT"/>
              </w:rPr>
            </w:pPr>
            <w:proofErr w:type="spellStart"/>
            <w:r w:rsidRPr="00CE66BE">
              <w:rPr>
                <w:rFonts w:eastAsia="Times New Roman" w:cstheme="minorHAnsi"/>
                <w:color w:val="000000"/>
                <w:lang w:eastAsia="it-IT"/>
              </w:rPr>
              <w:t>Spain</w:t>
            </w:r>
            <w:proofErr w:type="spellEnd"/>
            <w:r w:rsidRPr="00CE66BE">
              <w:rPr>
                <w:rFonts w:eastAsia="Times New Roman" w:cstheme="minorHAnsi"/>
                <w:color w:val="000000"/>
                <w:lang w:eastAsia="it-IT"/>
              </w:rPr>
              <w:t xml:space="preserve">: </w:t>
            </w:r>
            <w:proofErr w:type="spellStart"/>
            <w:r w:rsidRPr="00CE66BE">
              <w:rPr>
                <w:rFonts w:eastAsia="Times New Roman" w:cstheme="minorHAnsi"/>
                <w:color w:val="000000"/>
                <w:lang w:eastAsia="it-IT"/>
              </w:rPr>
              <w:t>Valencian</w:t>
            </w:r>
            <w:proofErr w:type="spellEnd"/>
            <w:r w:rsidRPr="00CE66BE">
              <w:rPr>
                <w:rFonts w:eastAsia="Times New Roman" w:cstheme="minorHAnsi"/>
                <w:color w:val="000000"/>
                <w:lang w:eastAsia="it-IT"/>
              </w:rPr>
              <w:t xml:space="preserve"> </w:t>
            </w:r>
            <w:proofErr w:type="spellStart"/>
            <w:r w:rsidRPr="00CE66BE">
              <w:rPr>
                <w:rFonts w:eastAsia="Times New Roman" w:cstheme="minorHAnsi"/>
                <w:color w:val="000000"/>
                <w:lang w:eastAsia="it-IT"/>
              </w:rPr>
              <w:t>Region</w:t>
            </w:r>
            <w:proofErr w:type="spellEnd"/>
          </w:p>
        </w:tc>
        <w:tc>
          <w:tcPr>
            <w:tcW w:w="1871" w:type="dxa"/>
            <w:vAlign w:val="center"/>
          </w:tcPr>
          <w:p w14:paraId="14902A4D" w14:textId="77777777" w:rsidR="00C40D5E" w:rsidRPr="00CE66BE" w:rsidRDefault="00C40D5E" w:rsidP="00162987">
            <w:pPr>
              <w:spacing w:after="0" w:line="240" w:lineRule="auto"/>
              <w:jc w:val="center"/>
              <w:rPr>
                <w:rFonts w:eastAsia="Times New Roman" w:cstheme="minorHAnsi"/>
                <w:color w:val="000000"/>
                <w:lang w:eastAsia="it-IT"/>
              </w:rPr>
            </w:pPr>
            <w:r w:rsidRPr="00CE66BE">
              <w:rPr>
                <w:rFonts w:eastAsia="Times New Roman" w:cstheme="minorHAnsi"/>
                <w:color w:val="000000"/>
                <w:lang w:eastAsia="it-IT"/>
              </w:rPr>
              <w:t>96.7 (96.3</w:t>
            </w:r>
            <w:r>
              <w:rPr>
                <w:rFonts w:eastAsia="Times New Roman" w:cstheme="minorHAnsi"/>
                <w:color w:val="000000"/>
                <w:lang w:eastAsia="it-IT"/>
              </w:rPr>
              <w:t xml:space="preserve">, </w:t>
            </w:r>
            <w:r w:rsidRPr="00CE66BE">
              <w:rPr>
                <w:rFonts w:eastAsia="Times New Roman" w:cstheme="minorHAnsi"/>
                <w:color w:val="000000"/>
                <w:lang w:eastAsia="it-IT"/>
              </w:rPr>
              <w:t>97.1)</w:t>
            </w:r>
          </w:p>
        </w:tc>
        <w:tc>
          <w:tcPr>
            <w:tcW w:w="1871" w:type="dxa"/>
            <w:vAlign w:val="center"/>
          </w:tcPr>
          <w:p w14:paraId="79B38511" w14:textId="77777777" w:rsidR="00C40D5E" w:rsidRPr="00CE66BE" w:rsidRDefault="00C40D5E" w:rsidP="00162987">
            <w:pPr>
              <w:spacing w:after="0" w:line="240" w:lineRule="auto"/>
              <w:jc w:val="center"/>
              <w:rPr>
                <w:rFonts w:eastAsia="Times New Roman" w:cstheme="minorHAnsi"/>
                <w:color w:val="000000"/>
                <w:lang w:eastAsia="it-IT"/>
              </w:rPr>
            </w:pPr>
            <w:r w:rsidRPr="00CE66BE">
              <w:rPr>
                <w:rFonts w:eastAsia="Times New Roman" w:cstheme="minorHAnsi"/>
                <w:color w:val="000000"/>
                <w:lang w:eastAsia="it-IT"/>
              </w:rPr>
              <w:t>9</w:t>
            </w:r>
            <w:r>
              <w:rPr>
                <w:rFonts w:eastAsia="Times New Roman" w:cstheme="minorHAnsi"/>
                <w:color w:val="000000"/>
                <w:lang w:eastAsia="it-IT"/>
              </w:rPr>
              <w:t xml:space="preserve">4.4 (93.8, </w:t>
            </w:r>
            <w:r w:rsidRPr="00CE66BE">
              <w:rPr>
                <w:rFonts w:eastAsia="Times New Roman" w:cstheme="minorHAnsi"/>
                <w:color w:val="000000"/>
                <w:lang w:eastAsia="it-IT"/>
              </w:rPr>
              <w:t>94.9)</w:t>
            </w:r>
          </w:p>
        </w:tc>
        <w:tc>
          <w:tcPr>
            <w:tcW w:w="1871" w:type="dxa"/>
            <w:vAlign w:val="center"/>
          </w:tcPr>
          <w:p w14:paraId="7704C6BF" w14:textId="77777777" w:rsidR="00C40D5E" w:rsidRPr="00CE66BE" w:rsidRDefault="00C40D5E" w:rsidP="00162987">
            <w:pPr>
              <w:spacing w:after="0" w:line="240" w:lineRule="auto"/>
              <w:jc w:val="center"/>
              <w:rPr>
                <w:rFonts w:eastAsia="Times New Roman" w:cstheme="minorHAnsi"/>
                <w:color w:val="000000"/>
                <w:lang w:eastAsia="it-IT"/>
              </w:rPr>
            </w:pPr>
            <w:r>
              <w:rPr>
                <w:rFonts w:eastAsia="Times New Roman" w:cstheme="minorHAnsi"/>
                <w:color w:val="000000"/>
                <w:lang w:eastAsia="it-IT"/>
              </w:rPr>
              <w:t xml:space="preserve">97.5 (97.2, </w:t>
            </w:r>
            <w:r w:rsidRPr="00CE66BE">
              <w:rPr>
                <w:rFonts w:eastAsia="Times New Roman" w:cstheme="minorHAnsi"/>
                <w:color w:val="000000"/>
                <w:lang w:eastAsia="it-IT"/>
              </w:rPr>
              <w:t>97.9)</w:t>
            </w:r>
          </w:p>
        </w:tc>
      </w:tr>
      <w:tr w:rsidR="00C40D5E" w:rsidRPr="00CE66BE" w14:paraId="2B1CE259" w14:textId="77777777" w:rsidTr="00162987">
        <w:trPr>
          <w:trHeight w:val="283"/>
          <w:jc w:val="center"/>
        </w:trPr>
        <w:tc>
          <w:tcPr>
            <w:tcW w:w="3828" w:type="dxa"/>
            <w:shd w:val="clear" w:color="auto" w:fill="auto"/>
            <w:noWrap/>
            <w:vAlign w:val="center"/>
            <w:hideMark/>
          </w:tcPr>
          <w:p w14:paraId="5967F000" w14:textId="77777777" w:rsidR="00C40D5E" w:rsidRPr="00CE66BE" w:rsidRDefault="00C40D5E" w:rsidP="00162987">
            <w:pPr>
              <w:spacing w:after="0" w:line="240" w:lineRule="auto"/>
              <w:rPr>
                <w:rFonts w:eastAsia="Times New Roman" w:cstheme="minorHAnsi"/>
                <w:color w:val="000000"/>
                <w:lang w:eastAsia="it-IT"/>
              </w:rPr>
            </w:pPr>
            <w:r w:rsidRPr="00CE66BE">
              <w:rPr>
                <w:rFonts w:eastAsia="Times New Roman" w:cstheme="minorHAnsi"/>
                <w:color w:val="000000"/>
                <w:lang w:eastAsia="it-IT"/>
              </w:rPr>
              <w:t>UK: Wales</w:t>
            </w:r>
          </w:p>
        </w:tc>
        <w:tc>
          <w:tcPr>
            <w:tcW w:w="1871" w:type="dxa"/>
            <w:vAlign w:val="center"/>
          </w:tcPr>
          <w:p w14:paraId="036F0306" w14:textId="77777777" w:rsidR="00C40D5E" w:rsidRPr="00CE66BE" w:rsidRDefault="00C40D5E" w:rsidP="00162987">
            <w:pPr>
              <w:spacing w:after="0" w:line="240" w:lineRule="auto"/>
              <w:jc w:val="center"/>
              <w:rPr>
                <w:rFonts w:eastAsia="Times New Roman" w:cstheme="minorHAnsi"/>
                <w:color w:val="000000"/>
                <w:lang w:eastAsia="it-IT"/>
              </w:rPr>
            </w:pPr>
            <w:r w:rsidRPr="00CE66BE">
              <w:rPr>
                <w:rFonts w:eastAsia="Times New Roman" w:cstheme="minorHAnsi"/>
                <w:color w:val="000000"/>
                <w:lang w:eastAsia="it-IT"/>
              </w:rPr>
              <w:t>97.8 (97.5</w:t>
            </w:r>
            <w:r>
              <w:rPr>
                <w:rFonts w:eastAsia="Times New Roman" w:cstheme="minorHAnsi"/>
                <w:color w:val="000000"/>
                <w:lang w:eastAsia="it-IT"/>
              </w:rPr>
              <w:t xml:space="preserve">, </w:t>
            </w:r>
            <w:r w:rsidRPr="00CE66BE">
              <w:rPr>
                <w:rFonts w:eastAsia="Times New Roman" w:cstheme="minorHAnsi"/>
                <w:color w:val="000000"/>
                <w:lang w:eastAsia="it-IT"/>
              </w:rPr>
              <w:t>98.1)</w:t>
            </w:r>
          </w:p>
        </w:tc>
        <w:tc>
          <w:tcPr>
            <w:tcW w:w="1871" w:type="dxa"/>
            <w:vAlign w:val="center"/>
          </w:tcPr>
          <w:p w14:paraId="54D3BA8C" w14:textId="77777777" w:rsidR="00C40D5E" w:rsidRPr="00CE66BE" w:rsidRDefault="00C40D5E" w:rsidP="00162987">
            <w:pPr>
              <w:spacing w:after="0" w:line="240" w:lineRule="auto"/>
              <w:jc w:val="center"/>
              <w:rPr>
                <w:rFonts w:eastAsia="Times New Roman" w:cstheme="minorHAnsi"/>
                <w:color w:val="000000"/>
                <w:lang w:eastAsia="it-IT"/>
              </w:rPr>
            </w:pPr>
            <w:r w:rsidRPr="00CE66BE">
              <w:rPr>
                <w:rFonts w:eastAsia="Times New Roman" w:cstheme="minorHAnsi"/>
                <w:color w:val="000000"/>
                <w:lang w:eastAsia="it-IT"/>
              </w:rPr>
              <w:t>9</w:t>
            </w:r>
            <w:r>
              <w:rPr>
                <w:rFonts w:eastAsia="Times New Roman" w:cstheme="minorHAnsi"/>
                <w:color w:val="000000"/>
                <w:lang w:eastAsia="it-IT"/>
              </w:rPr>
              <w:t xml:space="preserve">5.7 (95.3, </w:t>
            </w:r>
            <w:r w:rsidRPr="00CE66BE">
              <w:rPr>
                <w:rFonts w:eastAsia="Times New Roman" w:cstheme="minorHAnsi"/>
                <w:color w:val="000000"/>
                <w:lang w:eastAsia="it-IT"/>
              </w:rPr>
              <w:t>96.1)</w:t>
            </w:r>
          </w:p>
        </w:tc>
        <w:tc>
          <w:tcPr>
            <w:tcW w:w="1871" w:type="dxa"/>
            <w:vAlign w:val="center"/>
          </w:tcPr>
          <w:p w14:paraId="59A85DA1" w14:textId="77777777" w:rsidR="00C40D5E" w:rsidRPr="00CE66BE" w:rsidRDefault="00C40D5E" w:rsidP="00162987">
            <w:pPr>
              <w:spacing w:after="0" w:line="240" w:lineRule="auto"/>
              <w:jc w:val="center"/>
              <w:rPr>
                <w:rFonts w:eastAsia="Times New Roman" w:cstheme="minorHAnsi"/>
                <w:color w:val="000000"/>
                <w:lang w:eastAsia="it-IT"/>
              </w:rPr>
            </w:pPr>
            <w:r>
              <w:rPr>
                <w:rFonts w:eastAsia="Times New Roman" w:cstheme="minorHAnsi"/>
                <w:color w:val="000000"/>
                <w:lang w:eastAsia="it-IT"/>
              </w:rPr>
              <w:t xml:space="preserve">97.8 (97.5, </w:t>
            </w:r>
            <w:r w:rsidRPr="00CE66BE">
              <w:rPr>
                <w:rFonts w:eastAsia="Times New Roman" w:cstheme="minorHAnsi"/>
                <w:color w:val="000000"/>
                <w:lang w:eastAsia="it-IT"/>
              </w:rPr>
              <w:t>98.1)</w:t>
            </w:r>
          </w:p>
        </w:tc>
      </w:tr>
      <w:tr w:rsidR="00C40D5E" w:rsidRPr="00CE66BE" w14:paraId="12E6AD0A" w14:textId="77777777" w:rsidTr="00162987">
        <w:trPr>
          <w:trHeight w:val="283"/>
          <w:jc w:val="center"/>
        </w:trPr>
        <w:tc>
          <w:tcPr>
            <w:tcW w:w="3828" w:type="dxa"/>
            <w:shd w:val="clear" w:color="auto" w:fill="auto"/>
            <w:noWrap/>
            <w:vAlign w:val="center"/>
            <w:hideMark/>
          </w:tcPr>
          <w:p w14:paraId="0E2449A6" w14:textId="77777777" w:rsidR="00C40D5E" w:rsidRPr="00CE66BE" w:rsidRDefault="00C40D5E" w:rsidP="00162987">
            <w:pPr>
              <w:spacing w:after="0" w:line="240" w:lineRule="auto"/>
              <w:rPr>
                <w:rFonts w:eastAsia="Times New Roman" w:cstheme="minorHAnsi"/>
                <w:color w:val="000000"/>
                <w:lang w:eastAsia="it-IT"/>
              </w:rPr>
            </w:pPr>
            <w:r w:rsidRPr="00CE66BE">
              <w:rPr>
                <w:rFonts w:eastAsia="Times New Roman" w:cstheme="minorHAnsi"/>
                <w:color w:val="000000"/>
                <w:lang w:eastAsia="it-IT"/>
              </w:rPr>
              <w:t xml:space="preserve">UK: </w:t>
            </w:r>
            <w:proofErr w:type="spellStart"/>
            <w:r w:rsidRPr="00CE66BE">
              <w:rPr>
                <w:rFonts w:eastAsia="Times New Roman" w:cstheme="minorHAnsi"/>
                <w:color w:val="000000"/>
                <w:lang w:eastAsia="it-IT"/>
              </w:rPr>
              <w:t>Thames</w:t>
            </w:r>
            <w:proofErr w:type="spellEnd"/>
            <w:r w:rsidRPr="00CE66BE">
              <w:rPr>
                <w:rFonts w:eastAsia="Times New Roman" w:cstheme="minorHAnsi"/>
                <w:color w:val="000000"/>
                <w:lang w:eastAsia="it-IT"/>
              </w:rPr>
              <w:t xml:space="preserve"> Valley</w:t>
            </w:r>
          </w:p>
        </w:tc>
        <w:tc>
          <w:tcPr>
            <w:tcW w:w="1871" w:type="dxa"/>
            <w:vAlign w:val="center"/>
          </w:tcPr>
          <w:p w14:paraId="212A2C90" w14:textId="77777777" w:rsidR="00C40D5E" w:rsidRPr="00CE66BE" w:rsidRDefault="00C40D5E" w:rsidP="00162987">
            <w:pPr>
              <w:spacing w:after="0" w:line="240" w:lineRule="auto"/>
              <w:jc w:val="center"/>
              <w:rPr>
                <w:rFonts w:eastAsia="Times New Roman" w:cstheme="minorHAnsi"/>
                <w:color w:val="000000"/>
                <w:lang w:eastAsia="it-IT"/>
              </w:rPr>
            </w:pPr>
            <w:r w:rsidRPr="00CE66BE">
              <w:rPr>
                <w:rFonts w:eastAsia="Times New Roman" w:cstheme="minorHAnsi"/>
                <w:color w:val="000000"/>
                <w:lang w:eastAsia="it-IT"/>
              </w:rPr>
              <w:t>95.6 (94.9</w:t>
            </w:r>
            <w:r>
              <w:rPr>
                <w:rFonts w:eastAsia="Times New Roman" w:cstheme="minorHAnsi"/>
                <w:color w:val="000000"/>
                <w:lang w:eastAsia="it-IT"/>
              </w:rPr>
              <w:t xml:space="preserve">, </w:t>
            </w:r>
            <w:r w:rsidRPr="00CE66BE">
              <w:rPr>
                <w:rFonts w:eastAsia="Times New Roman" w:cstheme="minorHAnsi"/>
                <w:color w:val="000000"/>
                <w:lang w:eastAsia="it-IT"/>
              </w:rPr>
              <w:t>96.3)</w:t>
            </w:r>
          </w:p>
        </w:tc>
        <w:tc>
          <w:tcPr>
            <w:tcW w:w="1871" w:type="dxa"/>
            <w:vAlign w:val="center"/>
          </w:tcPr>
          <w:p w14:paraId="69FC602F" w14:textId="77777777" w:rsidR="00C40D5E" w:rsidRPr="00CE66BE" w:rsidRDefault="00C40D5E" w:rsidP="00162987">
            <w:pPr>
              <w:spacing w:after="0" w:line="240" w:lineRule="auto"/>
              <w:jc w:val="center"/>
              <w:rPr>
                <w:rFonts w:eastAsia="Times New Roman" w:cstheme="minorHAnsi"/>
                <w:color w:val="000000"/>
                <w:lang w:eastAsia="it-IT"/>
              </w:rPr>
            </w:pPr>
            <w:r w:rsidRPr="00CE66BE">
              <w:rPr>
                <w:rFonts w:eastAsia="Times New Roman" w:cstheme="minorHAnsi"/>
                <w:color w:val="000000"/>
                <w:lang w:eastAsia="it-IT"/>
              </w:rPr>
              <w:t>9</w:t>
            </w:r>
            <w:r>
              <w:rPr>
                <w:rFonts w:eastAsia="Times New Roman" w:cstheme="minorHAnsi"/>
                <w:color w:val="000000"/>
                <w:lang w:eastAsia="it-IT"/>
              </w:rPr>
              <w:t xml:space="preserve">1.9 (91.0, </w:t>
            </w:r>
            <w:r w:rsidRPr="00CE66BE">
              <w:rPr>
                <w:rFonts w:eastAsia="Times New Roman" w:cstheme="minorHAnsi"/>
                <w:color w:val="000000"/>
                <w:lang w:eastAsia="it-IT"/>
              </w:rPr>
              <w:t>92.8)</w:t>
            </w:r>
          </w:p>
        </w:tc>
        <w:tc>
          <w:tcPr>
            <w:tcW w:w="1871" w:type="dxa"/>
            <w:vAlign w:val="center"/>
          </w:tcPr>
          <w:p w14:paraId="1202DD0B" w14:textId="77777777" w:rsidR="00C40D5E" w:rsidRPr="00CE66BE" w:rsidRDefault="00C40D5E" w:rsidP="00162987">
            <w:pPr>
              <w:spacing w:after="0" w:line="240" w:lineRule="auto"/>
              <w:jc w:val="center"/>
              <w:rPr>
                <w:rFonts w:eastAsia="Times New Roman" w:cstheme="minorHAnsi"/>
                <w:color w:val="000000"/>
                <w:lang w:eastAsia="it-IT"/>
              </w:rPr>
            </w:pPr>
            <w:r>
              <w:rPr>
                <w:rFonts w:eastAsia="Times New Roman" w:cstheme="minorHAnsi"/>
                <w:color w:val="000000"/>
                <w:lang w:eastAsia="it-IT"/>
              </w:rPr>
              <w:t xml:space="preserve">96.1 (95.4, </w:t>
            </w:r>
            <w:r w:rsidRPr="00CE66BE">
              <w:rPr>
                <w:rFonts w:eastAsia="Times New Roman" w:cstheme="minorHAnsi"/>
                <w:color w:val="000000"/>
                <w:lang w:eastAsia="it-IT"/>
              </w:rPr>
              <w:t>96.7)</w:t>
            </w:r>
          </w:p>
        </w:tc>
      </w:tr>
      <w:tr w:rsidR="00C40D5E" w:rsidRPr="00CE66BE" w14:paraId="43C214D5" w14:textId="77777777" w:rsidTr="00162987">
        <w:trPr>
          <w:trHeight w:val="283"/>
          <w:jc w:val="center"/>
        </w:trPr>
        <w:tc>
          <w:tcPr>
            <w:tcW w:w="3828" w:type="dxa"/>
            <w:shd w:val="clear" w:color="auto" w:fill="auto"/>
            <w:noWrap/>
            <w:vAlign w:val="center"/>
            <w:hideMark/>
          </w:tcPr>
          <w:p w14:paraId="36891B65" w14:textId="77777777" w:rsidR="00C40D5E" w:rsidRPr="00CE66BE" w:rsidRDefault="00C40D5E" w:rsidP="00162987">
            <w:pPr>
              <w:spacing w:after="0" w:line="240" w:lineRule="auto"/>
              <w:rPr>
                <w:rFonts w:eastAsia="Times New Roman" w:cstheme="minorHAnsi"/>
                <w:color w:val="000000"/>
                <w:lang w:eastAsia="it-IT"/>
              </w:rPr>
            </w:pPr>
            <w:r w:rsidRPr="00CE66BE">
              <w:rPr>
                <w:rFonts w:eastAsia="Times New Roman" w:cstheme="minorHAnsi"/>
                <w:color w:val="000000"/>
                <w:lang w:eastAsia="it-IT"/>
              </w:rPr>
              <w:t>UK: Wessex</w:t>
            </w:r>
          </w:p>
        </w:tc>
        <w:tc>
          <w:tcPr>
            <w:tcW w:w="1871" w:type="dxa"/>
            <w:vAlign w:val="center"/>
          </w:tcPr>
          <w:p w14:paraId="44ECC576" w14:textId="77777777" w:rsidR="00C40D5E" w:rsidRPr="00CE66BE" w:rsidRDefault="00C40D5E" w:rsidP="00162987">
            <w:pPr>
              <w:spacing w:after="0" w:line="240" w:lineRule="auto"/>
              <w:jc w:val="center"/>
              <w:rPr>
                <w:rFonts w:eastAsia="Times New Roman" w:cstheme="minorHAnsi"/>
                <w:color w:val="000000"/>
                <w:lang w:eastAsia="it-IT"/>
              </w:rPr>
            </w:pPr>
            <w:r w:rsidRPr="00CE66BE">
              <w:rPr>
                <w:rFonts w:eastAsia="Times New Roman" w:cstheme="minorHAnsi"/>
                <w:color w:val="000000"/>
                <w:lang w:eastAsia="it-IT"/>
              </w:rPr>
              <w:t>96.1 (95.5</w:t>
            </w:r>
            <w:r>
              <w:rPr>
                <w:rFonts w:eastAsia="Times New Roman" w:cstheme="minorHAnsi"/>
                <w:color w:val="000000"/>
                <w:lang w:eastAsia="it-IT"/>
              </w:rPr>
              <w:t xml:space="preserve">, </w:t>
            </w:r>
            <w:r w:rsidRPr="00CE66BE">
              <w:rPr>
                <w:rFonts w:eastAsia="Times New Roman" w:cstheme="minorHAnsi"/>
                <w:color w:val="000000"/>
                <w:lang w:eastAsia="it-IT"/>
              </w:rPr>
              <w:t>96.7)</w:t>
            </w:r>
          </w:p>
        </w:tc>
        <w:tc>
          <w:tcPr>
            <w:tcW w:w="1871" w:type="dxa"/>
            <w:vAlign w:val="center"/>
          </w:tcPr>
          <w:p w14:paraId="4A601C8E" w14:textId="77777777" w:rsidR="00C40D5E" w:rsidRPr="00CE66BE" w:rsidRDefault="00C40D5E" w:rsidP="00162987">
            <w:pPr>
              <w:spacing w:after="0" w:line="240" w:lineRule="auto"/>
              <w:jc w:val="center"/>
              <w:rPr>
                <w:rFonts w:eastAsia="Times New Roman" w:cstheme="minorHAnsi"/>
                <w:color w:val="000000"/>
                <w:lang w:eastAsia="it-IT"/>
              </w:rPr>
            </w:pPr>
            <w:r w:rsidRPr="00CE66BE">
              <w:rPr>
                <w:rFonts w:eastAsia="Times New Roman" w:cstheme="minorHAnsi"/>
                <w:color w:val="000000"/>
                <w:lang w:eastAsia="it-IT"/>
              </w:rPr>
              <w:t>9</w:t>
            </w:r>
            <w:r>
              <w:rPr>
                <w:rFonts w:eastAsia="Times New Roman" w:cstheme="minorHAnsi"/>
                <w:color w:val="000000"/>
                <w:lang w:eastAsia="it-IT"/>
              </w:rPr>
              <w:t xml:space="preserve">2.5 (91.6, </w:t>
            </w:r>
            <w:r w:rsidRPr="00CE66BE">
              <w:rPr>
                <w:rFonts w:eastAsia="Times New Roman" w:cstheme="minorHAnsi"/>
                <w:color w:val="000000"/>
                <w:lang w:eastAsia="it-IT"/>
              </w:rPr>
              <w:t>93.3)</w:t>
            </w:r>
          </w:p>
        </w:tc>
        <w:tc>
          <w:tcPr>
            <w:tcW w:w="1871" w:type="dxa"/>
            <w:vAlign w:val="center"/>
          </w:tcPr>
          <w:p w14:paraId="64344182" w14:textId="77777777" w:rsidR="00C40D5E" w:rsidRPr="00CE66BE" w:rsidRDefault="00C40D5E" w:rsidP="00162987">
            <w:pPr>
              <w:spacing w:after="0" w:line="240" w:lineRule="auto"/>
              <w:jc w:val="center"/>
              <w:rPr>
                <w:rFonts w:eastAsia="Times New Roman" w:cstheme="minorHAnsi"/>
                <w:color w:val="000000"/>
                <w:lang w:eastAsia="it-IT"/>
              </w:rPr>
            </w:pPr>
            <w:r>
              <w:rPr>
                <w:rFonts w:eastAsia="Times New Roman" w:cstheme="minorHAnsi"/>
                <w:color w:val="000000"/>
                <w:lang w:eastAsia="it-IT"/>
              </w:rPr>
              <w:t xml:space="preserve">96.2 (95.6, </w:t>
            </w:r>
            <w:r w:rsidRPr="00CE66BE">
              <w:rPr>
                <w:rFonts w:eastAsia="Times New Roman" w:cstheme="minorHAnsi"/>
                <w:color w:val="000000"/>
                <w:lang w:eastAsia="it-IT"/>
              </w:rPr>
              <w:t>96.8)</w:t>
            </w:r>
          </w:p>
        </w:tc>
      </w:tr>
      <w:tr w:rsidR="00C40D5E" w:rsidRPr="00CE66BE" w14:paraId="1794CF69" w14:textId="77777777" w:rsidTr="00162987">
        <w:trPr>
          <w:trHeight w:val="283"/>
          <w:jc w:val="center"/>
        </w:trPr>
        <w:tc>
          <w:tcPr>
            <w:tcW w:w="3828" w:type="dxa"/>
            <w:shd w:val="clear" w:color="auto" w:fill="auto"/>
            <w:noWrap/>
            <w:vAlign w:val="center"/>
            <w:hideMark/>
          </w:tcPr>
          <w:p w14:paraId="07A60BD8" w14:textId="77777777" w:rsidR="00C40D5E" w:rsidRPr="00CE66BE" w:rsidRDefault="00C40D5E" w:rsidP="00162987">
            <w:pPr>
              <w:spacing w:after="0" w:line="240" w:lineRule="auto"/>
              <w:rPr>
                <w:rFonts w:eastAsia="Times New Roman" w:cstheme="minorHAnsi"/>
                <w:color w:val="000000"/>
                <w:lang w:val="en-GB" w:eastAsia="it-IT"/>
              </w:rPr>
            </w:pPr>
            <w:r w:rsidRPr="00CE66BE">
              <w:rPr>
                <w:rFonts w:eastAsia="Times New Roman" w:cstheme="minorHAnsi"/>
                <w:color w:val="000000"/>
                <w:lang w:val="en-GB" w:eastAsia="it-IT"/>
              </w:rPr>
              <w:t>UK:  East Midlands and South Yorkshire</w:t>
            </w:r>
          </w:p>
        </w:tc>
        <w:tc>
          <w:tcPr>
            <w:tcW w:w="1871" w:type="dxa"/>
            <w:vAlign w:val="center"/>
          </w:tcPr>
          <w:p w14:paraId="0821167E" w14:textId="77777777" w:rsidR="00C40D5E" w:rsidRPr="00CE66BE" w:rsidRDefault="00C40D5E" w:rsidP="00162987">
            <w:pPr>
              <w:spacing w:after="0" w:line="240" w:lineRule="auto"/>
              <w:jc w:val="center"/>
              <w:rPr>
                <w:rFonts w:eastAsia="Times New Roman" w:cstheme="minorHAnsi"/>
                <w:color w:val="000000"/>
                <w:lang w:val="en-GB" w:eastAsia="it-IT"/>
              </w:rPr>
            </w:pPr>
            <w:r w:rsidRPr="00CE66BE">
              <w:rPr>
                <w:rFonts w:eastAsia="Times New Roman" w:cstheme="minorHAnsi"/>
                <w:color w:val="000000"/>
                <w:lang w:val="en-GB" w:eastAsia="it-IT"/>
              </w:rPr>
              <w:t>95.7 (95.2</w:t>
            </w:r>
            <w:r>
              <w:rPr>
                <w:rFonts w:eastAsia="Times New Roman" w:cstheme="minorHAnsi"/>
                <w:color w:val="000000"/>
                <w:lang w:val="en-GB" w:eastAsia="it-IT"/>
              </w:rPr>
              <w:t xml:space="preserve">, </w:t>
            </w:r>
            <w:r w:rsidRPr="00CE66BE">
              <w:rPr>
                <w:rFonts w:eastAsia="Times New Roman" w:cstheme="minorHAnsi"/>
                <w:color w:val="000000"/>
                <w:lang w:val="en-GB" w:eastAsia="it-IT"/>
              </w:rPr>
              <w:t>96.1)</w:t>
            </w:r>
          </w:p>
        </w:tc>
        <w:tc>
          <w:tcPr>
            <w:tcW w:w="1871" w:type="dxa"/>
            <w:vAlign w:val="center"/>
          </w:tcPr>
          <w:p w14:paraId="78689C03" w14:textId="77777777" w:rsidR="00C40D5E" w:rsidRPr="00CE66BE" w:rsidRDefault="00C40D5E" w:rsidP="00162987">
            <w:pPr>
              <w:spacing w:after="0" w:line="240" w:lineRule="auto"/>
              <w:jc w:val="center"/>
              <w:rPr>
                <w:rFonts w:eastAsia="Times New Roman" w:cstheme="minorHAnsi"/>
                <w:color w:val="000000"/>
                <w:lang w:val="en-GB" w:eastAsia="it-IT"/>
              </w:rPr>
            </w:pPr>
            <w:r w:rsidRPr="00CE66BE">
              <w:rPr>
                <w:rFonts w:eastAsia="Times New Roman" w:cstheme="minorHAnsi"/>
                <w:color w:val="000000"/>
                <w:lang w:val="en-GB" w:eastAsia="it-IT"/>
              </w:rPr>
              <w:t>9</w:t>
            </w:r>
            <w:r>
              <w:rPr>
                <w:rFonts w:eastAsia="Times New Roman" w:cstheme="minorHAnsi"/>
                <w:color w:val="000000"/>
                <w:lang w:val="en-GB" w:eastAsia="it-IT"/>
              </w:rPr>
              <w:t xml:space="preserve">1.9 (91.4, </w:t>
            </w:r>
            <w:r w:rsidRPr="00CE66BE">
              <w:rPr>
                <w:rFonts w:eastAsia="Times New Roman" w:cstheme="minorHAnsi"/>
                <w:color w:val="000000"/>
                <w:lang w:val="en-GB" w:eastAsia="it-IT"/>
              </w:rPr>
              <w:t>92.5)</w:t>
            </w:r>
          </w:p>
        </w:tc>
        <w:tc>
          <w:tcPr>
            <w:tcW w:w="1871" w:type="dxa"/>
            <w:vAlign w:val="center"/>
          </w:tcPr>
          <w:p w14:paraId="603620CA" w14:textId="77777777" w:rsidR="00C40D5E" w:rsidRPr="00CE66BE" w:rsidRDefault="00C40D5E" w:rsidP="00162987">
            <w:pPr>
              <w:spacing w:after="0" w:line="240" w:lineRule="auto"/>
              <w:jc w:val="center"/>
              <w:rPr>
                <w:rFonts w:eastAsia="Times New Roman" w:cstheme="minorHAnsi"/>
                <w:color w:val="000000"/>
                <w:lang w:val="en-GB" w:eastAsia="it-IT"/>
              </w:rPr>
            </w:pPr>
            <w:r>
              <w:rPr>
                <w:rFonts w:eastAsia="Times New Roman" w:cstheme="minorHAnsi"/>
                <w:color w:val="000000"/>
                <w:lang w:val="en-GB" w:eastAsia="it-IT"/>
              </w:rPr>
              <w:t xml:space="preserve">96.1 (95.7, </w:t>
            </w:r>
            <w:r w:rsidRPr="00CE66BE">
              <w:rPr>
                <w:rFonts w:eastAsia="Times New Roman" w:cstheme="minorHAnsi"/>
                <w:color w:val="000000"/>
                <w:lang w:val="en-GB" w:eastAsia="it-IT"/>
              </w:rPr>
              <w:t>96.5)</w:t>
            </w:r>
          </w:p>
        </w:tc>
      </w:tr>
      <w:tr w:rsidR="00C40D5E" w:rsidRPr="00CE66BE" w14:paraId="76854C90" w14:textId="77777777" w:rsidTr="00162987">
        <w:trPr>
          <w:trHeight w:val="283"/>
          <w:jc w:val="center"/>
        </w:trPr>
        <w:tc>
          <w:tcPr>
            <w:tcW w:w="3828" w:type="dxa"/>
            <w:shd w:val="clear" w:color="auto" w:fill="auto"/>
            <w:noWrap/>
            <w:vAlign w:val="center"/>
            <w:hideMark/>
          </w:tcPr>
          <w:p w14:paraId="42E5A372" w14:textId="77777777" w:rsidR="00C40D5E" w:rsidRPr="00CE66BE" w:rsidRDefault="00C40D5E" w:rsidP="00162987">
            <w:pPr>
              <w:spacing w:after="0" w:line="240" w:lineRule="auto"/>
              <w:rPr>
                <w:rFonts w:eastAsia="Times New Roman" w:cstheme="minorHAnsi"/>
                <w:color w:val="000000"/>
                <w:lang w:eastAsia="it-IT"/>
              </w:rPr>
            </w:pPr>
            <w:r w:rsidRPr="00CE66BE">
              <w:rPr>
                <w:rFonts w:eastAsia="Times New Roman" w:cstheme="minorHAnsi"/>
                <w:color w:val="000000"/>
                <w:lang w:eastAsia="it-IT"/>
              </w:rPr>
              <w:t>Ukraine: OMNI-Net</w:t>
            </w:r>
          </w:p>
        </w:tc>
        <w:tc>
          <w:tcPr>
            <w:tcW w:w="1871" w:type="dxa"/>
            <w:vAlign w:val="center"/>
          </w:tcPr>
          <w:p w14:paraId="7EBC1E02" w14:textId="77777777" w:rsidR="00C40D5E" w:rsidRPr="00CE66BE" w:rsidRDefault="00C40D5E" w:rsidP="00162987">
            <w:pPr>
              <w:spacing w:after="0" w:line="240" w:lineRule="auto"/>
              <w:jc w:val="center"/>
              <w:rPr>
                <w:rFonts w:eastAsia="Times New Roman" w:cstheme="minorHAnsi"/>
                <w:color w:val="000000"/>
                <w:lang w:eastAsia="it-IT"/>
              </w:rPr>
            </w:pPr>
            <w:r>
              <w:rPr>
                <w:rFonts w:eastAsia="Times New Roman" w:cstheme="minorHAnsi"/>
                <w:color w:val="000000"/>
                <w:lang w:eastAsia="it-IT"/>
              </w:rPr>
              <w:t xml:space="preserve">93.2 (92.6, </w:t>
            </w:r>
            <w:r w:rsidRPr="00CE66BE">
              <w:rPr>
                <w:rFonts w:eastAsia="Times New Roman" w:cstheme="minorHAnsi"/>
                <w:color w:val="000000"/>
                <w:lang w:eastAsia="it-IT"/>
              </w:rPr>
              <w:t>93.9)</w:t>
            </w:r>
          </w:p>
        </w:tc>
        <w:tc>
          <w:tcPr>
            <w:tcW w:w="1871" w:type="dxa"/>
            <w:vAlign w:val="center"/>
          </w:tcPr>
          <w:p w14:paraId="11D82B84" w14:textId="77777777" w:rsidR="00C40D5E" w:rsidRPr="00CE66BE" w:rsidRDefault="00C40D5E" w:rsidP="00162987">
            <w:pPr>
              <w:spacing w:after="0" w:line="240" w:lineRule="auto"/>
              <w:jc w:val="center"/>
              <w:rPr>
                <w:rFonts w:eastAsia="Times New Roman" w:cstheme="minorHAnsi"/>
                <w:color w:val="000000"/>
                <w:lang w:eastAsia="it-IT"/>
              </w:rPr>
            </w:pPr>
            <w:r>
              <w:rPr>
                <w:rFonts w:eastAsia="Times New Roman" w:cstheme="minorHAnsi"/>
                <w:color w:val="000000"/>
                <w:lang w:eastAsia="it-IT"/>
              </w:rPr>
              <w:t xml:space="preserve">87.0 (86.1, </w:t>
            </w:r>
            <w:r w:rsidRPr="00CE66BE">
              <w:rPr>
                <w:rFonts w:eastAsia="Times New Roman" w:cstheme="minorHAnsi"/>
                <w:color w:val="000000"/>
                <w:lang w:eastAsia="it-IT"/>
              </w:rPr>
              <w:t>87.9)</w:t>
            </w:r>
          </w:p>
        </w:tc>
        <w:tc>
          <w:tcPr>
            <w:tcW w:w="1871" w:type="dxa"/>
            <w:vAlign w:val="center"/>
          </w:tcPr>
          <w:p w14:paraId="2D0A12F0" w14:textId="77777777" w:rsidR="00C40D5E" w:rsidRPr="00CE66BE" w:rsidRDefault="00C40D5E" w:rsidP="00162987">
            <w:pPr>
              <w:spacing w:after="0" w:line="240" w:lineRule="auto"/>
              <w:jc w:val="center"/>
              <w:rPr>
                <w:rFonts w:eastAsia="Times New Roman" w:cstheme="minorHAnsi"/>
                <w:color w:val="000000"/>
                <w:lang w:eastAsia="it-IT"/>
              </w:rPr>
            </w:pPr>
            <w:r>
              <w:rPr>
                <w:rFonts w:eastAsia="Times New Roman" w:cstheme="minorHAnsi"/>
                <w:color w:val="000000"/>
                <w:lang w:eastAsia="it-IT"/>
              </w:rPr>
              <w:t xml:space="preserve">93.3 (92.6, </w:t>
            </w:r>
            <w:r w:rsidRPr="00CE66BE">
              <w:rPr>
                <w:rFonts w:eastAsia="Times New Roman" w:cstheme="minorHAnsi"/>
                <w:color w:val="000000"/>
                <w:lang w:eastAsia="it-IT"/>
              </w:rPr>
              <w:t>93.9)</w:t>
            </w:r>
          </w:p>
        </w:tc>
      </w:tr>
      <w:tr w:rsidR="00C40D5E" w:rsidRPr="00CE66BE" w14:paraId="07E6A7A4" w14:textId="77777777" w:rsidTr="00162987">
        <w:trPr>
          <w:trHeight w:val="283"/>
          <w:jc w:val="center"/>
        </w:trPr>
        <w:tc>
          <w:tcPr>
            <w:tcW w:w="3828" w:type="dxa"/>
            <w:shd w:val="clear" w:color="auto" w:fill="auto"/>
            <w:noWrap/>
          </w:tcPr>
          <w:p w14:paraId="72D7262C" w14:textId="77777777" w:rsidR="00C40D5E" w:rsidRPr="00CE66BE" w:rsidRDefault="00C40D5E" w:rsidP="00162987">
            <w:pPr>
              <w:spacing w:after="0" w:line="240" w:lineRule="auto"/>
              <w:rPr>
                <w:rFonts w:eastAsia="Times New Roman" w:cstheme="minorHAnsi"/>
                <w:color w:val="000000"/>
                <w:lang w:eastAsia="it-IT"/>
              </w:rPr>
            </w:pPr>
          </w:p>
        </w:tc>
        <w:tc>
          <w:tcPr>
            <w:tcW w:w="1871" w:type="dxa"/>
            <w:vAlign w:val="center"/>
          </w:tcPr>
          <w:p w14:paraId="42E05B8C" w14:textId="77777777" w:rsidR="00C40D5E" w:rsidRDefault="00C40D5E" w:rsidP="00162987">
            <w:pPr>
              <w:spacing w:after="0" w:line="240" w:lineRule="auto"/>
              <w:jc w:val="center"/>
              <w:rPr>
                <w:rFonts w:eastAsia="Times New Roman" w:cstheme="minorHAnsi"/>
                <w:color w:val="000000"/>
                <w:lang w:eastAsia="it-IT"/>
              </w:rPr>
            </w:pPr>
          </w:p>
        </w:tc>
        <w:tc>
          <w:tcPr>
            <w:tcW w:w="1871" w:type="dxa"/>
            <w:vAlign w:val="center"/>
          </w:tcPr>
          <w:p w14:paraId="3424E38D" w14:textId="77777777" w:rsidR="00C40D5E" w:rsidRDefault="00C40D5E" w:rsidP="00162987">
            <w:pPr>
              <w:spacing w:after="0" w:line="240" w:lineRule="auto"/>
              <w:jc w:val="center"/>
              <w:rPr>
                <w:rFonts w:eastAsia="Times New Roman" w:cstheme="minorHAnsi"/>
                <w:color w:val="000000"/>
                <w:lang w:eastAsia="it-IT"/>
              </w:rPr>
            </w:pPr>
          </w:p>
        </w:tc>
        <w:tc>
          <w:tcPr>
            <w:tcW w:w="1871" w:type="dxa"/>
            <w:vAlign w:val="center"/>
          </w:tcPr>
          <w:p w14:paraId="063A5BF6" w14:textId="77777777" w:rsidR="00C40D5E" w:rsidRDefault="00C40D5E" w:rsidP="00162987">
            <w:pPr>
              <w:spacing w:after="0" w:line="240" w:lineRule="auto"/>
              <w:jc w:val="center"/>
              <w:rPr>
                <w:rFonts w:eastAsia="Times New Roman" w:cstheme="minorHAnsi"/>
                <w:color w:val="000000"/>
                <w:lang w:eastAsia="it-IT"/>
              </w:rPr>
            </w:pPr>
          </w:p>
        </w:tc>
      </w:tr>
      <w:tr w:rsidR="00C40D5E" w:rsidRPr="00CE66BE" w14:paraId="719BBE3E" w14:textId="77777777" w:rsidTr="00162987">
        <w:trPr>
          <w:trHeight w:val="283"/>
          <w:jc w:val="center"/>
        </w:trPr>
        <w:tc>
          <w:tcPr>
            <w:tcW w:w="3828" w:type="dxa"/>
            <w:shd w:val="clear" w:color="auto" w:fill="auto"/>
            <w:noWrap/>
          </w:tcPr>
          <w:p w14:paraId="36B9E5B1" w14:textId="77777777" w:rsidR="00C40D5E" w:rsidRPr="00CE66BE" w:rsidRDefault="00C40D5E" w:rsidP="00162987">
            <w:pPr>
              <w:spacing w:after="0" w:line="240" w:lineRule="auto"/>
              <w:rPr>
                <w:rFonts w:eastAsia="Times New Roman" w:cstheme="minorHAnsi"/>
                <w:color w:val="000000"/>
                <w:lang w:val="en-GB" w:eastAsia="it-IT"/>
              </w:rPr>
            </w:pPr>
            <w:r w:rsidRPr="00CE66BE">
              <w:rPr>
                <w:rFonts w:eastAsia="Times New Roman" w:cstheme="minorHAnsi"/>
                <w:b/>
                <w:bCs/>
                <w:color w:val="000000"/>
              </w:rPr>
              <w:t>Severe CHD</w:t>
            </w:r>
            <w:r w:rsidRPr="00CE66BE">
              <w:rPr>
                <w:rFonts w:eastAsia="Times New Roman" w:cstheme="minorHAnsi"/>
                <w:b/>
                <w:bCs/>
                <w:color w:val="000000"/>
                <w:vertAlign w:val="superscript"/>
              </w:rPr>
              <w:t xml:space="preserve"> ^</w:t>
            </w:r>
          </w:p>
        </w:tc>
        <w:tc>
          <w:tcPr>
            <w:tcW w:w="1871" w:type="dxa"/>
            <w:vAlign w:val="center"/>
          </w:tcPr>
          <w:p w14:paraId="14AD8A19" w14:textId="77777777" w:rsidR="00C40D5E" w:rsidRDefault="00C40D5E" w:rsidP="00162987">
            <w:pPr>
              <w:spacing w:after="0" w:line="240" w:lineRule="auto"/>
              <w:jc w:val="center"/>
              <w:rPr>
                <w:rFonts w:eastAsia="Times New Roman" w:cstheme="minorHAnsi"/>
                <w:color w:val="000000"/>
                <w:lang w:eastAsia="it-IT"/>
              </w:rPr>
            </w:pPr>
          </w:p>
        </w:tc>
        <w:tc>
          <w:tcPr>
            <w:tcW w:w="1871" w:type="dxa"/>
            <w:vAlign w:val="center"/>
          </w:tcPr>
          <w:p w14:paraId="6097AFE8" w14:textId="77777777" w:rsidR="00C40D5E" w:rsidRDefault="00C40D5E" w:rsidP="00162987">
            <w:pPr>
              <w:spacing w:after="0" w:line="240" w:lineRule="auto"/>
              <w:jc w:val="center"/>
              <w:rPr>
                <w:rFonts w:eastAsia="Times New Roman" w:cstheme="minorHAnsi"/>
                <w:color w:val="000000"/>
                <w:lang w:eastAsia="it-IT"/>
              </w:rPr>
            </w:pPr>
          </w:p>
        </w:tc>
        <w:tc>
          <w:tcPr>
            <w:tcW w:w="1871" w:type="dxa"/>
            <w:vAlign w:val="center"/>
          </w:tcPr>
          <w:p w14:paraId="3644346B" w14:textId="77777777" w:rsidR="00C40D5E" w:rsidRDefault="00C40D5E" w:rsidP="00162987">
            <w:pPr>
              <w:spacing w:after="0" w:line="240" w:lineRule="auto"/>
              <w:jc w:val="center"/>
              <w:rPr>
                <w:rFonts w:eastAsia="Times New Roman" w:cstheme="minorHAnsi"/>
                <w:color w:val="000000"/>
                <w:lang w:eastAsia="it-IT"/>
              </w:rPr>
            </w:pPr>
          </w:p>
        </w:tc>
      </w:tr>
      <w:tr w:rsidR="00C40D5E" w:rsidRPr="00CE66BE" w14:paraId="32A3C52A" w14:textId="77777777" w:rsidTr="00162987">
        <w:trPr>
          <w:trHeight w:val="283"/>
          <w:jc w:val="center"/>
        </w:trPr>
        <w:tc>
          <w:tcPr>
            <w:tcW w:w="3828" w:type="dxa"/>
            <w:shd w:val="clear" w:color="auto" w:fill="auto"/>
            <w:noWrap/>
            <w:vAlign w:val="center"/>
          </w:tcPr>
          <w:p w14:paraId="7EDE3466" w14:textId="77777777" w:rsidR="00C40D5E" w:rsidRPr="00CE66BE" w:rsidRDefault="00C40D5E" w:rsidP="00162987">
            <w:pPr>
              <w:spacing w:after="0" w:line="240" w:lineRule="auto"/>
              <w:rPr>
                <w:rFonts w:eastAsia="Times New Roman" w:cstheme="minorHAnsi"/>
                <w:color w:val="000000"/>
                <w:lang w:val="en-GB" w:eastAsia="it-IT"/>
              </w:rPr>
            </w:pPr>
            <w:r w:rsidRPr="00CE66BE">
              <w:rPr>
                <w:rFonts w:eastAsia="Times New Roman" w:cstheme="minorHAnsi"/>
                <w:color w:val="000000"/>
                <w:lang w:val="en-GB" w:eastAsia="it-IT"/>
              </w:rPr>
              <w:t>Belgium: Antwerp</w:t>
            </w:r>
            <w:r>
              <w:rPr>
                <w:rFonts w:cstheme="minorHAnsi"/>
                <w:sz w:val="18"/>
                <w:szCs w:val="18"/>
                <w:vertAlign w:val="superscript"/>
                <w:lang w:val="en-GB"/>
              </w:rPr>
              <w:t xml:space="preserve"> </w:t>
            </w:r>
            <w:r w:rsidRPr="00E76091">
              <w:rPr>
                <w:rFonts w:cstheme="minorHAnsi"/>
                <w:sz w:val="18"/>
                <w:szCs w:val="18"/>
                <w:vertAlign w:val="superscript"/>
                <w:lang w:val="en-GB"/>
              </w:rPr>
              <w:t>#</w:t>
            </w:r>
          </w:p>
        </w:tc>
        <w:tc>
          <w:tcPr>
            <w:tcW w:w="1871" w:type="dxa"/>
            <w:vAlign w:val="center"/>
          </w:tcPr>
          <w:p w14:paraId="2D8D3234" w14:textId="77777777" w:rsidR="00C40D5E" w:rsidRDefault="00C40D5E" w:rsidP="00162987">
            <w:pPr>
              <w:spacing w:after="0" w:line="240" w:lineRule="auto"/>
              <w:jc w:val="center"/>
              <w:rPr>
                <w:rFonts w:eastAsia="Times New Roman" w:cstheme="minorHAnsi"/>
                <w:color w:val="000000"/>
                <w:lang w:eastAsia="it-IT"/>
              </w:rPr>
            </w:pPr>
            <w:r>
              <w:rPr>
                <w:rFonts w:eastAsia="Times New Roman" w:cstheme="minorHAnsi"/>
                <w:color w:val="000000"/>
                <w:lang w:eastAsia="it-IT"/>
              </w:rPr>
              <w:t>93.6 (89.5, 96.1)</w:t>
            </w:r>
          </w:p>
        </w:tc>
        <w:tc>
          <w:tcPr>
            <w:tcW w:w="1871" w:type="dxa"/>
            <w:vAlign w:val="center"/>
          </w:tcPr>
          <w:p w14:paraId="1CCBC631" w14:textId="77777777" w:rsidR="00C40D5E" w:rsidRPr="00CE66BE" w:rsidRDefault="00C40D5E" w:rsidP="00162987">
            <w:pPr>
              <w:spacing w:after="0" w:line="240" w:lineRule="auto"/>
              <w:jc w:val="center"/>
              <w:rPr>
                <w:rFonts w:eastAsia="Times New Roman" w:cstheme="minorHAnsi"/>
                <w:color w:val="000000"/>
                <w:lang w:val="en-GB" w:eastAsia="it-IT"/>
              </w:rPr>
            </w:pPr>
            <w:r w:rsidRPr="00CE66BE">
              <w:rPr>
                <w:rFonts w:eastAsia="Times New Roman" w:cstheme="minorHAnsi"/>
                <w:color w:val="000000"/>
                <w:lang w:val="en-GB" w:eastAsia="it-IT"/>
              </w:rPr>
              <w:t>NA</w:t>
            </w:r>
          </w:p>
        </w:tc>
        <w:tc>
          <w:tcPr>
            <w:tcW w:w="1871" w:type="dxa"/>
            <w:vAlign w:val="center"/>
          </w:tcPr>
          <w:p w14:paraId="507EFC59" w14:textId="77777777" w:rsidR="00C40D5E" w:rsidRPr="00CE66BE" w:rsidRDefault="00C40D5E" w:rsidP="00162987">
            <w:pPr>
              <w:spacing w:after="0" w:line="240" w:lineRule="auto"/>
              <w:jc w:val="center"/>
              <w:rPr>
                <w:rFonts w:eastAsia="Times New Roman" w:cstheme="minorHAnsi"/>
                <w:color w:val="000000"/>
                <w:lang w:val="en-GB" w:eastAsia="it-IT"/>
              </w:rPr>
            </w:pPr>
            <w:r w:rsidRPr="00CE66BE">
              <w:rPr>
                <w:rFonts w:eastAsia="Times New Roman" w:cstheme="minorHAnsi"/>
                <w:color w:val="000000"/>
                <w:lang w:val="en-GB" w:eastAsia="it-IT"/>
              </w:rPr>
              <w:t>NA</w:t>
            </w:r>
          </w:p>
        </w:tc>
      </w:tr>
      <w:tr w:rsidR="00C40D5E" w:rsidRPr="00CE66BE" w14:paraId="7EF8D695" w14:textId="77777777" w:rsidTr="00162987">
        <w:trPr>
          <w:trHeight w:val="283"/>
          <w:jc w:val="center"/>
        </w:trPr>
        <w:tc>
          <w:tcPr>
            <w:tcW w:w="3828" w:type="dxa"/>
            <w:shd w:val="clear" w:color="auto" w:fill="auto"/>
            <w:noWrap/>
            <w:vAlign w:val="center"/>
          </w:tcPr>
          <w:p w14:paraId="4FCFA623" w14:textId="77777777" w:rsidR="00C40D5E" w:rsidRPr="00CE66BE" w:rsidRDefault="00C40D5E" w:rsidP="00162987">
            <w:pPr>
              <w:spacing w:after="0" w:line="240" w:lineRule="auto"/>
              <w:rPr>
                <w:rFonts w:eastAsia="Times New Roman" w:cstheme="minorHAnsi"/>
                <w:color w:val="000000"/>
                <w:lang w:val="en-GB" w:eastAsia="it-IT"/>
              </w:rPr>
            </w:pPr>
            <w:r w:rsidRPr="00CE66BE">
              <w:rPr>
                <w:rFonts w:eastAsia="Times New Roman" w:cstheme="minorHAnsi"/>
                <w:color w:val="000000"/>
                <w:lang w:val="en-GB" w:eastAsia="it-IT"/>
              </w:rPr>
              <w:t>Denmark: Funen</w:t>
            </w:r>
          </w:p>
        </w:tc>
        <w:tc>
          <w:tcPr>
            <w:tcW w:w="1871" w:type="dxa"/>
            <w:vAlign w:val="center"/>
          </w:tcPr>
          <w:p w14:paraId="6C256A4C" w14:textId="77777777" w:rsidR="00C40D5E" w:rsidRDefault="00C40D5E" w:rsidP="00162987">
            <w:pPr>
              <w:spacing w:after="0" w:line="240" w:lineRule="auto"/>
              <w:jc w:val="center"/>
              <w:rPr>
                <w:rFonts w:eastAsia="Times New Roman" w:cstheme="minorHAnsi"/>
                <w:color w:val="000000"/>
                <w:lang w:eastAsia="it-IT"/>
              </w:rPr>
            </w:pPr>
            <w:r>
              <w:rPr>
                <w:rFonts w:eastAsia="Times New Roman" w:cstheme="minorHAnsi"/>
                <w:color w:val="000000"/>
                <w:lang w:eastAsia="it-IT"/>
              </w:rPr>
              <w:t>NA</w:t>
            </w:r>
            <w:r w:rsidRPr="00E76091">
              <w:rPr>
                <w:rFonts w:cstheme="minorHAnsi"/>
                <w:sz w:val="20"/>
                <w:szCs w:val="20"/>
                <w:vertAlign w:val="superscript"/>
                <w:lang w:val="en-GB"/>
              </w:rPr>
              <w:t>§</w:t>
            </w:r>
          </w:p>
        </w:tc>
        <w:tc>
          <w:tcPr>
            <w:tcW w:w="1871" w:type="dxa"/>
            <w:vAlign w:val="center"/>
          </w:tcPr>
          <w:p w14:paraId="726BE0CA" w14:textId="77777777" w:rsidR="00C40D5E" w:rsidRDefault="00C40D5E" w:rsidP="00162987">
            <w:pPr>
              <w:spacing w:after="0" w:line="240" w:lineRule="auto"/>
              <w:jc w:val="center"/>
              <w:rPr>
                <w:rFonts w:eastAsia="Times New Roman" w:cstheme="minorHAnsi"/>
                <w:color w:val="000000"/>
                <w:lang w:eastAsia="it-IT"/>
              </w:rPr>
            </w:pPr>
            <w:r>
              <w:rPr>
                <w:rFonts w:eastAsia="Times New Roman" w:cstheme="minorHAnsi"/>
                <w:color w:val="000000"/>
                <w:lang w:eastAsia="it-IT"/>
              </w:rPr>
              <w:t>88.7 (78.7, 94.2)</w:t>
            </w:r>
          </w:p>
        </w:tc>
        <w:tc>
          <w:tcPr>
            <w:tcW w:w="1871" w:type="dxa"/>
            <w:vAlign w:val="center"/>
          </w:tcPr>
          <w:p w14:paraId="2F9B96E7" w14:textId="77777777" w:rsidR="00C40D5E" w:rsidRDefault="00C40D5E" w:rsidP="00162987">
            <w:pPr>
              <w:spacing w:after="0" w:line="240" w:lineRule="auto"/>
              <w:jc w:val="center"/>
              <w:rPr>
                <w:rFonts w:eastAsia="Times New Roman" w:cstheme="minorHAnsi"/>
                <w:color w:val="000000"/>
                <w:lang w:eastAsia="it-IT"/>
              </w:rPr>
            </w:pPr>
            <w:r w:rsidRPr="00CE66BE">
              <w:rPr>
                <w:rFonts w:eastAsia="Times New Roman" w:cstheme="minorHAnsi"/>
                <w:color w:val="000000"/>
                <w:lang w:val="en-GB" w:eastAsia="it-IT"/>
              </w:rPr>
              <w:t>NA</w:t>
            </w:r>
            <w:r w:rsidRPr="00E76091">
              <w:rPr>
                <w:rFonts w:cstheme="minorHAnsi"/>
                <w:sz w:val="20"/>
                <w:szCs w:val="20"/>
                <w:vertAlign w:val="superscript"/>
                <w:lang w:val="en-GB"/>
              </w:rPr>
              <w:t>§</w:t>
            </w:r>
          </w:p>
        </w:tc>
      </w:tr>
      <w:tr w:rsidR="00C40D5E" w:rsidRPr="00CE66BE" w14:paraId="6A99D8EE" w14:textId="77777777" w:rsidTr="00162987">
        <w:trPr>
          <w:trHeight w:val="283"/>
          <w:jc w:val="center"/>
        </w:trPr>
        <w:tc>
          <w:tcPr>
            <w:tcW w:w="3828" w:type="dxa"/>
            <w:shd w:val="clear" w:color="auto" w:fill="auto"/>
            <w:noWrap/>
            <w:vAlign w:val="center"/>
          </w:tcPr>
          <w:p w14:paraId="2B4D1AF3" w14:textId="77777777" w:rsidR="00C40D5E" w:rsidRPr="00CE66BE" w:rsidRDefault="00C40D5E" w:rsidP="00162987">
            <w:pPr>
              <w:spacing w:after="0" w:line="240" w:lineRule="auto"/>
              <w:rPr>
                <w:rFonts w:eastAsia="Times New Roman" w:cstheme="minorHAnsi"/>
                <w:color w:val="000000"/>
                <w:lang w:val="en-GB" w:eastAsia="it-IT"/>
              </w:rPr>
            </w:pPr>
            <w:r w:rsidRPr="00CE66BE">
              <w:rPr>
                <w:rFonts w:eastAsia="Times New Roman" w:cstheme="minorHAnsi"/>
                <w:color w:val="000000"/>
                <w:lang w:val="en-GB" w:eastAsia="it-IT"/>
              </w:rPr>
              <w:t>Finland</w:t>
            </w:r>
          </w:p>
        </w:tc>
        <w:tc>
          <w:tcPr>
            <w:tcW w:w="1871" w:type="dxa"/>
            <w:vAlign w:val="center"/>
          </w:tcPr>
          <w:p w14:paraId="480FA9D4" w14:textId="77777777" w:rsidR="00C40D5E" w:rsidRDefault="00C40D5E" w:rsidP="00162987">
            <w:pPr>
              <w:spacing w:after="0" w:line="240" w:lineRule="auto"/>
              <w:jc w:val="center"/>
              <w:rPr>
                <w:rFonts w:eastAsia="Times New Roman" w:cstheme="minorHAnsi"/>
                <w:color w:val="000000"/>
                <w:lang w:eastAsia="it-IT"/>
              </w:rPr>
            </w:pPr>
            <w:r>
              <w:rPr>
                <w:rFonts w:eastAsia="Times New Roman" w:cstheme="minorHAnsi"/>
                <w:color w:val="000000"/>
                <w:lang w:eastAsia="it-IT"/>
              </w:rPr>
              <w:t>94.8 (93.5, 96.0)</w:t>
            </w:r>
          </w:p>
        </w:tc>
        <w:tc>
          <w:tcPr>
            <w:tcW w:w="1871" w:type="dxa"/>
            <w:vAlign w:val="center"/>
          </w:tcPr>
          <w:p w14:paraId="1BF303C8" w14:textId="77777777" w:rsidR="00C40D5E" w:rsidRDefault="00C40D5E" w:rsidP="00162987">
            <w:pPr>
              <w:spacing w:after="0" w:line="240" w:lineRule="auto"/>
              <w:jc w:val="center"/>
              <w:rPr>
                <w:rFonts w:eastAsia="Times New Roman" w:cstheme="minorHAnsi"/>
                <w:color w:val="000000"/>
                <w:lang w:eastAsia="it-IT"/>
              </w:rPr>
            </w:pPr>
            <w:r>
              <w:rPr>
                <w:rFonts w:eastAsia="Times New Roman" w:cstheme="minorHAnsi"/>
                <w:color w:val="000000"/>
                <w:lang w:eastAsia="it-IT"/>
              </w:rPr>
              <w:t>92.6 (91.0, 94.0)</w:t>
            </w:r>
          </w:p>
        </w:tc>
        <w:tc>
          <w:tcPr>
            <w:tcW w:w="1871" w:type="dxa"/>
            <w:vAlign w:val="center"/>
          </w:tcPr>
          <w:p w14:paraId="54E4DA5C" w14:textId="77777777" w:rsidR="00C40D5E" w:rsidRDefault="00C40D5E" w:rsidP="00162987">
            <w:pPr>
              <w:spacing w:after="0" w:line="240" w:lineRule="auto"/>
              <w:jc w:val="center"/>
              <w:rPr>
                <w:rFonts w:eastAsia="Times New Roman" w:cstheme="minorHAnsi"/>
                <w:color w:val="000000"/>
                <w:lang w:eastAsia="it-IT"/>
              </w:rPr>
            </w:pPr>
            <w:r>
              <w:rPr>
                <w:rFonts w:eastAsia="Times New Roman" w:cstheme="minorHAnsi"/>
                <w:color w:val="000000"/>
                <w:lang w:eastAsia="it-IT"/>
              </w:rPr>
              <w:t>97.7 (96.7, 98.4)</w:t>
            </w:r>
          </w:p>
        </w:tc>
      </w:tr>
      <w:tr w:rsidR="00C40D5E" w:rsidRPr="00CE66BE" w14:paraId="58806672" w14:textId="77777777" w:rsidTr="00162987">
        <w:trPr>
          <w:trHeight w:val="283"/>
          <w:jc w:val="center"/>
        </w:trPr>
        <w:tc>
          <w:tcPr>
            <w:tcW w:w="3828" w:type="dxa"/>
            <w:shd w:val="clear" w:color="auto" w:fill="auto"/>
            <w:noWrap/>
            <w:vAlign w:val="center"/>
          </w:tcPr>
          <w:p w14:paraId="2B2416AD" w14:textId="77777777" w:rsidR="00C40D5E" w:rsidRPr="00CE66BE" w:rsidRDefault="00C40D5E" w:rsidP="00162987">
            <w:pPr>
              <w:spacing w:after="0" w:line="240" w:lineRule="auto"/>
              <w:rPr>
                <w:rFonts w:eastAsia="Times New Roman" w:cstheme="minorHAnsi"/>
                <w:color w:val="000000"/>
                <w:lang w:val="en-GB" w:eastAsia="it-IT"/>
              </w:rPr>
            </w:pPr>
            <w:r w:rsidRPr="00CE66BE">
              <w:rPr>
                <w:rFonts w:eastAsia="Times New Roman" w:cstheme="minorHAnsi"/>
                <w:color w:val="000000"/>
                <w:lang w:val="en-GB" w:eastAsia="it-IT"/>
              </w:rPr>
              <w:t>France: Paris</w:t>
            </w:r>
          </w:p>
        </w:tc>
        <w:tc>
          <w:tcPr>
            <w:tcW w:w="1871" w:type="dxa"/>
            <w:vAlign w:val="center"/>
          </w:tcPr>
          <w:p w14:paraId="2286BA20" w14:textId="77777777" w:rsidR="00C40D5E" w:rsidRDefault="00C40D5E" w:rsidP="00162987">
            <w:pPr>
              <w:spacing w:after="0" w:line="240" w:lineRule="auto"/>
              <w:jc w:val="center"/>
              <w:rPr>
                <w:rFonts w:eastAsia="Times New Roman" w:cstheme="minorHAnsi"/>
                <w:color w:val="000000"/>
                <w:lang w:eastAsia="it-IT"/>
              </w:rPr>
            </w:pPr>
            <w:r>
              <w:rPr>
                <w:rFonts w:eastAsia="Times New Roman" w:cstheme="minorHAnsi"/>
                <w:color w:val="000000"/>
                <w:lang w:eastAsia="it-IT"/>
              </w:rPr>
              <w:t>88.9 (84.5, 92.1)</w:t>
            </w:r>
          </w:p>
        </w:tc>
        <w:tc>
          <w:tcPr>
            <w:tcW w:w="1871" w:type="dxa"/>
            <w:vAlign w:val="center"/>
          </w:tcPr>
          <w:p w14:paraId="259F17D9" w14:textId="77777777" w:rsidR="00C40D5E" w:rsidRDefault="00C40D5E" w:rsidP="00162987">
            <w:pPr>
              <w:spacing w:after="0" w:line="240" w:lineRule="auto"/>
              <w:jc w:val="center"/>
              <w:rPr>
                <w:rFonts w:eastAsia="Times New Roman" w:cstheme="minorHAnsi"/>
                <w:color w:val="000000"/>
                <w:lang w:eastAsia="it-IT"/>
              </w:rPr>
            </w:pPr>
            <w:r>
              <w:rPr>
                <w:rFonts w:eastAsia="Times New Roman" w:cstheme="minorHAnsi"/>
                <w:color w:val="000000"/>
                <w:lang w:eastAsia="it-IT"/>
              </w:rPr>
              <w:t>81.9 (76.7, 86.1)</w:t>
            </w:r>
          </w:p>
        </w:tc>
        <w:tc>
          <w:tcPr>
            <w:tcW w:w="1871" w:type="dxa"/>
            <w:vAlign w:val="center"/>
          </w:tcPr>
          <w:p w14:paraId="6362987A" w14:textId="77777777" w:rsidR="00C40D5E" w:rsidRDefault="00C40D5E" w:rsidP="00162987">
            <w:pPr>
              <w:spacing w:after="0" w:line="240" w:lineRule="auto"/>
              <w:jc w:val="center"/>
              <w:rPr>
                <w:rFonts w:eastAsia="Times New Roman" w:cstheme="minorHAnsi"/>
                <w:color w:val="000000"/>
                <w:lang w:eastAsia="it-IT"/>
              </w:rPr>
            </w:pPr>
            <w:r>
              <w:rPr>
                <w:rFonts w:eastAsia="Times New Roman" w:cstheme="minorHAnsi"/>
                <w:color w:val="000000"/>
                <w:lang w:eastAsia="it-IT"/>
              </w:rPr>
              <w:t>92.2 (88.1, 94.9)</w:t>
            </w:r>
          </w:p>
        </w:tc>
      </w:tr>
      <w:tr w:rsidR="00C40D5E" w:rsidRPr="00CE66BE" w14:paraId="20C6659F" w14:textId="77777777" w:rsidTr="00162987">
        <w:trPr>
          <w:trHeight w:val="283"/>
          <w:jc w:val="center"/>
        </w:trPr>
        <w:tc>
          <w:tcPr>
            <w:tcW w:w="3828" w:type="dxa"/>
            <w:shd w:val="clear" w:color="auto" w:fill="auto"/>
            <w:noWrap/>
            <w:vAlign w:val="center"/>
          </w:tcPr>
          <w:p w14:paraId="50E7135B" w14:textId="77777777" w:rsidR="00C40D5E" w:rsidRPr="00CE66BE" w:rsidRDefault="00C40D5E" w:rsidP="00162987">
            <w:pPr>
              <w:spacing w:after="0" w:line="240" w:lineRule="auto"/>
              <w:rPr>
                <w:rFonts w:eastAsia="Times New Roman" w:cstheme="minorHAnsi"/>
                <w:color w:val="000000"/>
                <w:lang w:val="en-GB" w:eastAsia="it-IT"/>
              </w:rPr>
            </w:pPr>
            <w:r w:rsidRPr="00CE66BE">
              <w:rPr>
                <w:rFonts w:eastAsia="Times New Roman" w:cstheme="minorHAnsi"/>
                <w:color w:val="000000"/>
                <w:lang w:val="en-GB" w:eastAsia="it-IT"/>
              </w:rPr>
              <w:t>Germany: Saxony-Anhalt</w:t>
            </w:r>
          </w:p>
        </w:tc>
        <w:tc>
          <w:tcPr>
            <w:tcW w:w="1871" w:type="dxa"/>
            <w:vAlign w:val="center"/>
          </w:tcPr>
          <w:p w14:paraId="4BDE7222" w14:textId="77777777" w:rsidR="00C40D5E" w:rsidRDefault="00C40D5E" w:rsidP="00162987">
            <w:pPr>
              <w:spacing w:after="0" w:line="240" w:lineRule="auto"/>
              <w:jc w:val="center"/>
              <w:rPr>
                <w:rFonts w:eastAsia="Times New Roman" w:cstheme="minorHAnsi"/>
                <w:color w:val="000000"/>
                <w:lang w:eastAsia="it-IT"/>
              </w:rPr>
            </w:pPr>
            <w:r>
              <w:rPr>
                <w:rFonts w:eastAsia="Times New Roman" w:cstheme="minorHAnsi"/>
                <w:color w:val="000000"/>
                <w:lang w:eastAsia="it-IT"/>
              </w:rPr>
              <w:t>96.5 (93.7, 98.0)</w:t>
            </w:r>
          </w:p>
        </w:tc>
        <w:tc>
          <w:tcPr>
            <w:tcW w:w="1871" w:type="dxa"/>
            <w:vAlign w:val="center"/>
          </w:tcPr>
          <w:p w14:paraId="2FCD67A8" w14:textId="77777777" w:rsidR="00C40D5E" w:rsidRDefault="00C40D5E" w:rsidP="00162987">
            <w:pPr>
              <w:spacing w:after="0" w:line="240" w:lineRule="auto"/>
              <w:jc w:val="center"/>
              <w:rPr>
                <w:rFonts w:eastAsia="Times New Roman" w:cstheme="minorHAnsi"/>
                <w:color w:val="000000"/>
                <w:lang w:eastAsia="it-IT"/>
              </w:rPr>
            </w:pPr>
            <w:r>
              <w:rPr>
                <w:rFonts w:eastAsia="Times New Roman" w:cstheme="minorHAnsi"/>
                <w:color w:val="000000"/>
                <w:lang w:eastAsia="it-IT"/>
              </w:rPr>
              <w:t>94.6 (91.4, 96.6)</w:t>
            </w:r>
          </w:p>
        </w:tc>
        <w:tc>
          <w:tcPr>
            <w:tcW w:w="1871" w:type="dxa"/>
            <w:vAlign w:val="center"/>
          </w:tcPr>
          <w:p w14:paraId="760E61AF" w14:textId="77777777" w:rsidR="00C40D5E" w:rsidRDefault="00C40D5E" w:rsidP="00162987">
            <w:pPr>
              <w:spacing w:after="0" w:line="240" w:lineRule="auto"/>
              <w:jc w:val="center"/>
              <w:rPr>
                <w:rFonts w:eastAsia="Times New Roman" w:cstheme="minorHAnsi"/>
                <w:color w:val="000000"/>
                <w:lang w:eastAsia="it-IT"/>
              </w:rPr>
            </w:pPr>
            <w:r>
              <w:rPr>
                <w:rFonts w:eastAsia="Times New Roman" w:cstheme="minorHAnsi"/>
                <w:color w:val="000000"/>
                <w:lang w:eastAsia="it-IT"/>
              </w:rPr>
              <w:t>98.0 (95.6, 99.1)</w:t>
            </w:r>
          </w:p>
        </w:tc>
      </w:tr>
      <w:tr w:rsidR="00C40D5E" w:rsidRPr="00CE66BE" w14:paraId="5CEB980C" w14:textId="77777777" w:rsidTr="00162987">
        <w:trPr>
          <w:trHeight w:val="283"/>
          <w:jc w:val="center"/>
        </w:trPr>
        <w:tc>
          <w:tcPr>
            <w:tcW w:w="3828" w:type="dxa"/>
            <w:shd w:val="clear" w:color="auto" w:fill="auto"/>
            <w:noWrap/>
            <w:vAlign w:val="center"/>
          </w:tcPr>
          <w:p w14:paraId="76353FBA" w14:textId="77777777" w:rsidR="00C40D5E" w:rsidRPr="00CE66BE" w:rsidRDefault="00C40D5E" w:rsidP="00162987">
            <w:pPr>
              <w:spacing w:after="0" w:line="240" w:lineRule="auto"/>
              <w:rPr>
                <w:rFonts w:eastAsia="Times New Roman" w:cstheme="minorHAnsi"/>
                <w:color w:val="000000"/>
                <w:lang w:val="en-GB" w:eastAsia="it-IT"/>
              </w:rPr>
            </w:pPr>
            <w:r w:rsidRPr="00CE66BE">
              <w:rPr>
                <w:rFonts w:eastAsia="Times New Roman" w:cstheme="minorHAnsi"/>
                <w:color w:val="000000"/>
                <w:lang w:val="en-GB" w:eastAsia="it-IT"/>
              </w:rPr>
              <w:t>Italy: Emilia Romagna</w:t>
            </w:r>
          </w:p>
        </w:tc>
        <w:tc>
          <w:tcPr>
            <w:tcW w:w="1871" w:type="dxa"/>
            <w:vAlign w:val="center"/>
          </w:tcPr>
          <w:p w14:paraId="73DAC0E6" w14:textId="77777777" w:rsidR="00C40D5E" w:rsidRDefault="00C40D5E" w:rsidP="00162987">
            <w:pPr>
              <w:spacing w:after="0" w:line="240" w:lineRule="auto"/>
              <w:jc w:val="center"/>
              <w:rPr>
                <w:rFonts w:eastAsia="Times New Roman" w:cstheme="minorHAnsi"/>
                <w:color w:val="000000"/>
                <w:lang w:eastAsia="it-IT"/>
              </w:rPr>
            </w:pPr>
            <w:r>
              <w:rPr>
                <w:rFonts w:eastAsia="Times New Roman" w:cstheme="minorHAnsi"/>
                <w:color w:val="000000"/>
                <w:lang w:eastAsia="it-IT"/>
              </w:rPr>
              <w:t>94.1 (91.2, 96.0)</w:t>
            </w:r>
          </w:p>
        </w:tc>
        <w:tc>
          <w:tcPr>
            <w:tcW w:w="1871" w:type="dxa"/>
            <w:vAlign w:val="center"/>
          </w:tcPr>
          <w:p w14:paraId="2A271AFC" w14:textId="77777777" w:rsidR="00C40D5E" w:rsidRDefault="00C40D5E" w:rsidP="00162987">
            <w:pPr>
              <w:spacing w:after="0" w:line="240" w:lineRule="auto"/>
              <w:jc w:val="center"/>
              <w:rPr>
                <w:rFonts w:eastAsia="Times New Roman" w:cstheme="minorHAnsi"/>
                <w:color w:val="000000"/>
                <w:lang w:eastAsia="it-IT"/>
              </w:rPr>
            </w:pPr>
            <w:r>
              <w:rPr>
                <w:rFonts w:eastAsia="Times New Roman" w:cstheme="minorHAnsi"/>
                <w:color w:val="000000"/>
                <w:lang w:eastAsia="it-IT"/>
              </w:rPr>
              <w:t>89.2 (85.5, 91.9)</w:t>
            </w:r>
          </w:p>
        </w:tc>
        <w:tc>
          <w:tcPr>
            <w:tcW w:w="1871" w:type="dxa"/>
            <w:vAlign w:val="center"/>
          </w:tcPr>
          <w:p w14:paraId="394310E3" w14:textId="77777777" w:rsidR="00C40D5E" w:rsidRDefault="00C40D5E" w:rsidP="00162987">
            <w:pPr>
              <w:spacing w:after="0" w:line="240" w:lineRule="auto"/>
              <w:jc w:val="center"/>
              <w:rPr>
                <w:rFonts w:eastAsia="Times New Roman" w:cstheme="minorHAnsi"/>
                <w:color w:val="000000"/>
                <w:lang w:eastAsia="it-IT"/>
              </w:rPr>
            </w:pPr>
            <w:r>
              <w:rPr>
                <w:rFonts w:eastAsia="Times New Roman" w:cstheme="minorHAnsi"/>
                <w:color w:val="000000"/>
                <w:lang w:eastAsia="it-IT"/>
              </w:rPr>
              <w:t>94.8 (92.1, 96.6)</w:t>
            </w:r>
          </w:p>
        </w:tc>
      </w:tr>
      <w:tr w:rsidR="00C40D5E" w:rsidRPr="00CE66BE" w14:paraId="3FF0DBE0" w14:textId="77777777" w:rsidTr="00162987">
        <w:trPr>
          <w:trHeight w:val="283"/>
          <w:jc w:val="center"/>
        </w:trPr>
        <w:tc>
          <w:tcPr>
            <w:tcW w:w="3828" w:type="dxa"/>
            <w:shd w:val="clear" w:color="auto" w:fill="auto"/>
            <w:noWrap/>
            <w:vAlign w:val="center"/>
          </w:tcPr>
          <w:p w14:paraId="5534FE6B" w14:textId="77777777" w:rsidR="00C40D5E" w:rsidRPr="00CE66BE" w:rsidRDefault="00C40D5E" w:rsidP="00162987">
            <w:pPr>
              <w:spacing w:after="0" w:line="240" w:lineRule="auto"/>
              <w:rPr>
                <w:rFonts w:eastAsia="Times New Roman" w:cstheme="minorHAnsi"/>
                <w:color w:val="000000"/>
                <w:lang w:val="en-GB" w:eastAsia="it-IT"/>
              </w:rPr>
            </w:pPr>
            <w:r w:rsidRPr="00CE66BE">
              <w:rPr>
                <w:rFonts w:eastAsia="Times New Roman" w:cstheme="minorHAnsi"/>
                <w:color w:val="000000"/>
                <w:lang w:val="en-GB" w:eastAsia="it-IT"/>
              </w:rPr>
              <w:t>Italy: Tuscany</w:t>
            </w:r>
          </w:p>
        </w:tc>
        <w:tc>
          <w:tcPr>
            <w:tcW w:w="1871" w:type="dxa"/>
            <w:vAlign w:val="center"/>
          </w:tcPr>
          <w:p w14:paraId="6D112496" w14:textId="77777777" w:rsidR="00C40D5E" w:rsidRDefault="00C40D5E" w:rsidP="00162987">
            <w:pPr>
              <w:spacing w:after="0" w:line="240" w:lineRule="auto"/>
              <w:jc w:val="center"/>
              <w:rPr>
                <w:rFonts w:eastAsia="Times New Roman" w:cstheme="minorHAnsi"/>
                <w:color w:val="000000"/>
                <w:lang w:eastAsia="it-IT"/>
              </w:rPr>
            </w:pPr>
            <w:r>
              <w:rPr>
                <w:rFonts w:eastAsia="Times New Roman" w:cstheme="minorHAnsi"/>
                <w:color w:val="000000"/>
                <w:lang w:eastAsia="it-IT"/>
              </w:rPr>
              <w:t>95.6 (92.5, 97.4)</w:t>
            </w:r>
          </w:p>
        </w:tc>
        <w:tc>
          <w:tcPr>
            <w:tcW w:w="1871" w:type="dxa"/>
            <w:vAlign w:val="center"/>
          </w:tcPr>
          <w:p w14:paraId="45B586E7" w14:textId="77777777" w:rsidR="00C40D5E" w:rsidRDefault="00C40D5E" w:rsidP="00162987">
            <w:pPr>
              <w:spacing w:after="0" w:line="240" w:lineRule="auto"/>
              <w:jc w:val="center"/>
              <w:rPr>
                <w:rFonts w:eastAsia="Times New Roman" w:cstheme="minorHAnsi"/>
                <w:color w:val="000000"/>
                <w:lang w:eastAsia="it-IT"/>
              </w:rPr>
            </w:pPr>
            <w:r>
              <w:rPr>
                <w:rFonts w:eastAsia="Times New Roman" w:cstheme="minorHAnsi"/>
                <w:color w:val="000000"/>
                <w:lang w:eastAsia="it-IT"/>
              </w:rPr>
              <w:t>88.0 (83.7, 91.2)</w:t>
            </w:r>
          </w:p>
        </w:tc>
        <w:tc>
          <w:tcPr>
            <w:tcW w:w="1871" w:type="dxa"/>
            <w:vAlign w:val="center"/>
          </w:tcPr>
          <w:p w14:paraId="600521DC" w14:textId="77777777" w:rsidR="00C40D5E" w:rsidRDefault="00C40D5E" w:rsidP="00162987">
            <w:pPr>
              <w:spacing w:after="0" w:line="240" w:lineRule="auto"/>
              <w:jc w:val="center"/>
              <w:rPr>
                <w:rFonts w:eastAsia="Times New Roman" w:cstheme="minorHAnsi"/>
                <w:color w:val="000000"/>
                <w:lang w:eastAsia="it-IT"/>
              </w:rPr>
            </w:pPr>
            <w:r>
              <w:rPr>
                <w:rFonts w:eastAsia="Times New Roman" w:cstheme="minorHAnsi"/>
                <w:color w:val="000000"/>
                <w:lang w:eastAsia="it-IT"/>
              </w:rPr>
              <w:t>92.0 (88.3, 94.6)</w:t>
            </w:r>
          </w:p>
        </w:tc>
      </w:tr>
      <w:tr w:rsidR="00C40D5E" w:rsidRPr="00CE66BE" w14:paraId="70945028" w14:textId="77777777" w:rsidTr="00162987">
        <w:trPr>
          <w:trHeight w:val="283"/>
          <w:jc w:val="center"/>
        </w:trPr>
        <w:tc>
          <w:tcPr>
            <w:tcW w:w="3828" w:type="dxa"/>
            <w:shd w:val="clear" w:color="auto" w:fill="auto"/>
            <w:noWrap/>
            <w:vAlign w:val="center"/>
          </w:tcPr>
          <w:p w14:paraId="162FE9E2" w14:textId="77777777" w:rsidR="00C40D5E" w:rsidRPr="00CE66BE" w:rsidRDefault="00C40D5E" w:rsidP="00162987">
            <w:pPr>
              <w:spacing w:after="0" w:line="240" w:lineRule="auto"/>
              <w:rPr>
                <w:rFonts w:eastAsia="Times New Roman" w:cstheme="minorHAnsi"/>
                <w:color w:val="000000"/>
                <w:lang w:val="en-GB" w:eastAsia="it-IT"/>
              </w:rPr>
            </w:pPr>
            <w:r w:rsidRPr="00CE66BE">
              <w:rPr>
                <w:rFonts w:eastAsia="Times New Roman" w:cstheme="minorHAnsi"/>
                <w:color w:val="000000"/>
                <w:lang w:val="en-GB" w:eastAsia="it-IT"/>
              </w:rPr>
              <w:t>Malta*</w:t>
            </w:r>
          </w:p>
        </w:tc>
        <w:tc>
          <w:tcPr>
            <w:tcW w:w="1871" w:type="dxa"/>
            <w:vAlign w:val="center"/>
          </w:tcPr>
          <w:p w14:paraId="472C3DD8" w14:textId="77777777" w:rsidR="00C40D5E" w:rsidRDefault="00C40D5E" w:rsidP="00162987">
            <w:pPr>
              <w:spacing w:after="0" w:line="240" w:lineRule="auto"/>
              <w:jc w:val="center"/>
              <w:rPr>
                <w:rFonts w:eastAsia="Times New Roman" w:cstheme="minorHAnsi"/>
                <w:color w:val="000000"/>
                <w:lang w:eastAsia="it-IT"/>
              </w:rPr>
            </w:pPr>
            <w:r>
              <w:rPr>
                <w:rFonts w:eastAsia="Times New Roman" w:cstheme="minorHAnsi"/>
                <w:color w:val="000000"/>
                <w:lang w:eastAsia="it-IT"/>
              </w:rPr>
              <w:t>83.7 (74.4, 89.8)</w:t>
            </w:r>
          </w:p>
        </w:tc>
        <w:tc>
          <w:tcPr>
            <w:tcW w:w="1871" w:type="dxa"/>
            <w:vAlign w:val="center"/>
          </w:tcPr>
          <w:p w14:paraId="074D70E6" w14:textId="77777777" w:rsidR="00C40D5E" w:rsidRDefault="00C40D5E" w:rsidP="00162987">
            <w:pPr>
              <w:spacing w:after="0" w:line="240" w:lineRule="auto"/>
              <w:jc w:val="center"/>
              <w:rPr>
                <w:rFonts w:eastAsia="Times New Roman" w:cstheme="minorHAnsi"/>
                <w:color w:val="000000"/>
                <w:lang w:eastAsia="it-IT"/>
              </w:rPr>
            </w:pPr>
            <w:r>
              <w:rPr>
                <w:rFonts w:eastAsia="Times New Roman" w:cstheme="minorHAnsi"/>
                <w:color w:val="000000"/>
                <w:lang w:eastAsia="it-IT"/>
              </w:rPr>
              <w:t>78.3 (68.4, 85.4)</w:t>
            </w:r>
          </w:p>
        </w:tc>
        <w:tc>
          <w:tcPr>
            <w:tcW w:w="1871" w:type="dxa"/>
            <w:vAlign w:val="center"/>
          </w:tcPr>
          <w:p w14:paraId="40F0CA79" w14:textId="77777777" w:rsidR="00C40D5E" w:rsidRDefault="00C40D5E" w:rsidP="00162987">
            <w:pPr>
              <w:spacing w:after="0" w:line="240" w:lineRule="auto"/>
              <w:jc w:val="center"/>
              <w:rPr>
                <w:rFonts w:eastAsia="Times New Roman" w:cstheme="minorHAnsi"/>
                <w:color w:val="000000"/>
                <w:lang w:eastAsia="it-IT"/>
              </w:rPr>
            </w:pPr>
            <w:r>
              <w:rPr>
                <w:rFonts w:eastAsia="Times New Roman" w:cstheme="minorHAnsi"/>
                <w:color w:val="000000"/>
                <w:lang w:eastAsia="it-IT"/>
              </w:rPr>
              <w:t>93.5 (85.1, 97.2)</w:t>
            </w:r>
          </w:p>
        </w:tc>
      </w:tr>
      <w:tr w:rsidR="00C40D5E" w:rsidRPr="00CE66BE" w14:paraId="1F8D09F8" w14:textId="77777777" w:rsidTr="00162987">
        <w:trPr>
          <w:trHeight w:val="283"/>
          <w:jc w:val="center"/>
        </w:trPr>
        <w:tc>
          <w:tcPr>
            <w:tcW w:w="3828" w:type="dxa"/>
            <w:shd w:val="clear" w:color="auto" w:fill="auto"/>
            <w:noWrap/>
            <w:vAlign w:val="center"/>
          </w:tcPr>
          <w:p w14:paraId="04D40453" w14:textId="77777777" w:rsidR="00C40D5E" w:rsidRPr="00CE66BE" w:rsidRDefault="00C40D5E" w:rsidP="00162987">
            <w:pPr>
              <w:spacing w:after="0" w:line="240" w:lineRule="auto"/>
              <w:rPr>
                <w:rFonts w:eastAsia="Times New Roman" w:cstheme="minorHAnsi"/>
                <w:color w:val="000000"/>
                <w:lang w:eastAsia="it-IT"/>
              </w:rPr>
            </w:pPr>
            <w:r w:rsidRPr="00CE66BE">
              <w:rPr>
                <w:rFonts w:eastAsia="Times New Roman" w:cstheme="minorHAnsi"/>
                <w:color w:val="000000"/>
                <w:lang w:eastAsia="it-IT"/>
              </w:rPr>
              <w:t xml:space="preserve">Netherlands: </w:t>
            </w:r>
            <w:proofErr w:type="spellStart"/>
            <w:r w:rsidRPr="00CE66BE">
              <w:rPr>
                <w:rFonts w:eastAsia="Times New Roman" w:cstheme="minorHAnsi"/>
                <w:color w:val="000000"/>
                <w:lang w:eastAsia="it-IT"/>
              </w:rPr>
              <w:t>Northern</w:t>
            </w:r>
            <w:proofErr w:type="spellEnd"/>
          </w:p>
        </w:tc>
        <w:tc>
          <w:tcPr>
            <w:tcW w:w="1871" w:type="dxa"/>
            <w:vAlign w:val="center"/>
          </w:tcPr>
          <w:p w14:paraId="54B685F2" w14:textId="77777777" w:rsidR="00C40D5E" w:rsidRDefault="00C40D5E" w:rsidP="00162987">
            <w:pPr>
              <w:spacing w:after="0" w:line="240" w:lineRule="auto"/>
              <w:jc w:val="center"/>
              <w:rPr>
                <w:rFonts w:eastAsia="Times New Roman" w:cstheme="minorHAnsi"/>
                <w:color w:val="000000"/>
                <w:lang w:eastAsia="it-IT"/>
              </w:rPr>
            </w:pPr>
            <w:r>
              <w:rPr>
                <w:rFonts w:eastAsia="Times New Roman" w:cstheme="minorHAnsi"/>
                <w:color w:val="000000"/>
                <w:lang w:eastAsia="it-IT"/>
              </w:rPr>
              <w:t>87.4 (82.0, 95.4)</w:t>
            </w:r>
          </w:p>
        </w:tc>
        <w:tc>
          <w:tcPr>
            <w:tcW w:w="1871" w:type="dxa"/>
            <w:vAlign w:val="center"/>
          </w:tcPr>
          <w:p w14:paraId="793D6BAE" w14:textId="77777777" w:rsidR="00C40D5E" w:rsidRDefault="00C40D5E" w:rsidP="00162987">
            <w:pPr>
              <w:spacing w:after="0" w:line="240" w:lineRule="auto"/>
              <w:jc w:val="center"/>
              <w:rPr>
                <w:rFonts w:eastAsia="Times New Roman" w:cstheme="minorHAnsi"/>
                <w:color w:val="000000"/>
                <w:lang w:eastAsia="it-IT"/>
              </w:rPr>
            </w:pPr>
            <w:r>
              <w:rPr>
                <w:rFonts w:eastAsia="Times New Roman" w:cstheme="minorHAnsi"/>
                <w:color w:val="000000"/>
                <w:lang w:eastAsia="it-IT"/>
              </w:rPr>
              <w:t>79.5 (73.3, 84.4)</w:t>
            </w:r>
          </w:p>
        </w:tc>
        <w:tc>
          <w:tcPr>
            <w:tcW w:w="1871" w:type="dxa"/>
            <w:vAlign w:val="center"/>
          </w:tcPr>
          <w:p w14:paraId="4458D916" w14:textId="77777777" w:rsidR="00C40D5E" w:rsidRDefault="00C40D5E" w:rsidP="00162987">
            <w:pPr>
              <w:spacing w:after="0" w:line="240" w:lineRule="auto"/>
              <w:jc w:val="center"/>
              <w:rPr>
                <w:rFonts w:eastAsia="Times New Roman" w:cstheme="minorHAnsi"/>
                <w:color w:val="000000"/>
                <w:lang w:eastAsia="it-IT"/>
              </w:rPr>
            </w:pPr>
            <w:r>
              <w:rPr>
                <w:rFonts w:eastAsia="Times New Roman" w:cstheme="minorHAnsi"/>
                <w:color w:val="000000"/>
                <w:lang w:eastAsia="it-IT"/>
              </w:rPr>
              <w:t>91.0 (87.2, 93.8)</w:t>
            </w:r>
          </w:p>
        </w:tc>
      </w:tr>
      <w:tr w:rsidR="00C40D5E" w:rsidRPr="00CE66BE" w14:paraId="4F44887B" w14:textId="77777777" w:rsidTr="00162987">
        <w:trPr>
          <w:trHeight w:val="283"/>
          <w:jc w:val="center"/>
        </w:trPr>
        <w:tc>
          <w:tcPr>
            <w:tcW w:w="3828" w:type="dxa"/>
            <w:shd w:val="clear" w:color="auto" w:fill="auto"/>
            <w:noWrap/>
            <w:vAlign w:val="center"/>
          </w:tcPr>
          <w:p w14:paraId="00C434EE" w14:textId="77777777" w:rsidR="00C40D5E" w:rsidRPr="00CE66BE" w:rsidRDefault="00C40D5E" w:rsidP="00162987">
            <w:pPr>
              <w:spacing w:after="0" w:line="240" w:lineRule="auto"/>
              <w:rPr>
                <w:rFonts w:eastAsia="Times New Roman" w:cstheme="minorHAnsi"/>
                <w:color w:val="000000"/>
                <w:lang w:eastAsia="it-IT"/>
              </w:rPr>
            </w:pPr>
            <w:proofErr w:type="spellStart"/>
            <w:r w:rsidRPr="00CE66BE">
              <w:rPr>
                <w:rFonts w:eastAsia="Times New Roman" w:cstheme="minorHAnsi"/>
                <w:color w:val="000000"/>
                <w:lang w:eastAsia="it-IT"/>
              </w:rPr>
              <w:t>Norway</w:t>
            </w:r>
            <w:proofErr w:type="spellEnd"/>
          </w:p>
        </w:tc>
        <w:tc>
          <w:tcPr>
            <w:tcW w:w="1871" w:type="dxa"/>
            <w:vAlign w:val="center"/>
          </w:tcPr>
          <w:p w14:paraId="022F4D08" w14:textId="77777777" w:rsidR="00C40D5E" w:rsidRDefault="00C40D5E" w:rsidP="00162987">
            <w:pPr>
              <w:spacing w:after="0" w:line="240" w:lineRule="auto"/>
              <w:jc w:val="center"/>
              <w:rPr>
                <w:rFonts w:eastAsia="Times New Roman" w:cstheme="minorHAnsi"/>
                <w:color w:val="000000"/>
                <w:lang w:eastAsia="it-IT"/>
              </w:rPr>
            </w:pPr>
            <w:r>
              <w:rPr>
                <w:rFonts w:eastAsia="Times New Roman" w:cstheme="minorHAnsi"/>
                <w:color w:val="000000"/>
                <w:lang w:eastAsia="it-IT"/>
              </w:rPr>
              <w:t>93.9 (92.0, 95.4)</w:t>
            </w:r>
          </w:p>
        </w:tc>
        <w:tc>
          <w:tcPr>
            <w:tcW w:w="1871" w:type="dxa"/>
            <w:vAlign w:val="center"/>
          </w:tcPr>
          <w:p w14:paraId="6BAAD2B8" w14:textId="77777777" w:rsidR="00C40D5E" w:rsidRDefault="00C40D5E" w:rsidP="00162987">
            <w:pPr>
              <w:spacing w:after="0" w:line="240" w:lineRule="auto"/>
              <w:jc w:val="center"/>
              <w:rPr>
                <w:rFonts w:eastAsia="Times New Roman" w:cstheme="minorHAnsi"/>
                <w:color w:val="000000"/>
                <w:lang w:eastAsia="it-IT"/>
              </w:rPr>
            </w:pPr>
            <w:r>
              <w:rPr>
                <w:rFonts w:eastAsia="Times New Roman" w:cstheme="minorHAnsi"/>
                <w:color w:val="000000"/>
                <w:lang w:eastAsia="it-IT"/>
              </w:rPr>
              <w:t>88.4 (85.9, 90.5)</w:t>
            </w:r>
          </w:p>
        </w:tc>
        <w:tc>
          <w:tcPr>
            <w:tcW w:w="1871" w:type="dxa"/>
            <w:vAlign w:val="center"/>
          </w:tcPr>
          <w:p w14:paraId="1362C5A2" w14:textId="77777777" w:rsidR="00C40D5E" w:rsidRDefault="00C40D5E" w:rsidP="00162987">
            <w:pPr>
              <w:spacing w:after="0" w:line="240" w:lineRule="auto"/>
              <w:jc w:val="center"/>
              <w:rPr>
                <w:rFonts w:eastAsia="Times New Roman" w:cstheme="minorHAnsi"/>
                <w:color w:val="000000"/>
                <w:lang w:eastAsia="it-IT"/>
              </w:rPr>
            </w:pPr>
            <w:r>
              <w:rPr>
                <w:rFonts w:eastAsia="Times New Roman" w:cstheme="minorHAnsi"/>
                <w:color w:val="000000"/>
                <w:lang w:eastAsia="it-IT"/>
              </w:rPr>
              <w:t>94.1 (92.3, 95.6)</w:t>
            </w:r>
          </w:p>
        </w:tc>
      </w:tr>
      <w:tr w:rsidR="00C40D5E" w:rsidRPr="00CE66BE" w14:paraId="5E0CB353" w14:textId="77777777" w:rsidTr="00162987">
        <w:trPr>
          <w:trHeight w:val="283"/>
          <w:jc w:val="center"/>
        </w:trPr>
        <w:tc>
          <w:tcPr>
            <w:tcW w:w="3828" w:type="dxa"/>
            <w:shd w:val="clear" w:color="auto" w:fill="auto"/>
            <w:noWrap/>
            <w:vAlign w:val="center"/>
          </w:tcPr>
          <w:p w14:paraId="1334AC1B" w14:textId="77777777" w:rsidR="00C40D5E" w:rsidRPr="00CE66BE" w:rsidRDefault="00C40D5E" w:rsidP="00162987">
            <w:pPr>
              <w:spacing w:after="0" w:line="240" w:lineRule="auto"/>
              <w:rPr>
                <w:rFonts w:eastAsia="Times New Roman" w:cstheme="minorHAnsi"/>
                <w:color w:val="000000"/>
                <w:lang w:eastAsia="it-IT"/>
              </w:rPr>
            </w:pPr>
            <w:proofErr w:type="spellStart"/>
            <w:r w:rsidRPr="00CE66BE">
              <w:rPr>
                <w:rFonts w:eastAsia="Times New Roman" w:cstheme="minorHAnsi"/>
                <w:color w:val="000000"/>
                <w:lang w:eastAsia="it-IT"/>
              </w:rPr>
              <w:t>Spain</w:t>
            </w:r>
            <w:proofErr w:type="spellEnd"/>
            <w:r w:rsidRPr="00CE66BE">
              <w:rPr>
                <w:rFonts w:eastAsia="Times New Roman" w:cstheme="minorHAnsi"/>
                <w:color w:val="000000"/>
                <w:lang w:eastAsia="it-IT"/>
              </w:rPr>
              <w:t xml:space="preserve">: </w:t>
            </w:r>
            <w:proofErr w:type="spellStart"/>
            <w:r w:rsidRPr="00CE66BE">
              <w:rPr>
                <w:rFonts w:eastAsia="Times New Roman" w:cstheme="minorHAnsi"/>
                <w:color w:val="000000"/>
                <w:lang w:eastAsia="it-IT"/>
              </w:rPr>
              <w:t>Basque</w:t>
            </w:r>
            <w:proofErr w:type="spellEnd"/>
            <w:r w:rsidRPr="00CE66BE">
              <w:rPr>
                <w:rFonts w:eastAsia="Times New Roman" w:cstheme="minorHAnsi"/>
                <w:color w:val="000000"/>
                <w:lang w:eastAsia="it-IT"/>
              </w:rPr>
              <w:t xml:space="preserve"> Country</w:t>
            </w:r>
          </w:p>
        </w:tc>
        <w:tc>
          <w:tcPr>
            <w:tcW w:w="1871" w:type="dxa"/>
            <w:vAlign w:val="center"/>
          </w:tcPr>
          <w:p w14:paraId="66BB3DFB" w14:textId="77777777" w:rsidR="00C40D5E" w:rsidRDefault="00C40D5E" w:rsidP="00162987">
            <w:pPr>
              <w:spacing w:after="0" w:line="240" w:lineRule="auto"/>
              <w:jc w:val="center"/>
              <w:rPr>
                <w:rFonts w:eastAsia="Times New Roman" w:cstheme="minorHAnsi"/>
                <w:color w:val="000000"/>
                <w:lang w:eastAsia="it-IT"/>
              </w:rPr>
            </w:pPr>
            <w:r>
              <w:rPr>
                <w:rFonts w:eastAsia="Times New Roman" w:cstheme="minorHAnsi"/>
                <w:color w:val="000000"/>
                <w:lang w:eastAsia="it-IT"/>
              </w:rPr>
              <w:t>90.4 (86.1, 93.4)</w:t>
            </w:r>
          </w:p>
        </w:tc>
        <w:tc>
          <w:tcPr>
            <w:tcW w:w="1871" w:type="dxa"/>
            <w:vAlign w:val="center"/>
          </w:tcPr>
          <w:p w14:paraId="3845AC89" w14:textId="77777777" w:rsidR="00C40D5E" w:rsidRDefault="00C40D5E" w:rsidP="00162987">
            <w:pPr>
              <w:spacing w:after="0" w:line="240" w:lineRule="auto"/>
              <w:jc w:val="center"/>
              <w:rPr>
                <w:rFonts w:eastAsia="Times New Roman" w:cstheme="minorHAnsi"/>
                <w:color w:val="000000"/>
                <w:lang w:eastAsia="it-IT"/>
              </w:rPr>
            </w:pPr>
            <w:r>
              <w:rPr>
                <w:rFonts w:eastAsia="Times New Roman" w:cstheme="minorHAnsi"/>
                <w:color w:val="000000"/>
                <w:lang w:eastAsia="it-IT"/>
              </w:rPr>
              <w:t>85.3 (80.3, 89.1)</w:t>
            </w:r>
          </w:p>
        </w:tc>
        <w:tc>
          <w:tcPr>
            <w:tcW w:w="1871" w:type="dxa"/>
            <w:vAlign w:val="center"/>
          </w:tcPr>
          <w:p w14:paraId="63F8E241" w14:textId="77777777" w:rsidR="00C40D5E" w:rsidRDefault="00C40D5E" w:rsidP="00162987">
            <w:pPr>
              <w:spacing w:after="0" w:line="240" w:lineRule="auto"/>
              <w:jc w:val="center"/>
              <w:rPr>
                <w:rFonts w:eastAsia="Times New Roman" w:cstheme="minorHAnsi"/>
                <w:color w:val="000000"/>
                <w:lang w:eastAsia="it-IT"/>
              </w:rPr>
            </w:pPr>
            <w:r>
              <w:rPr>
                <w:rFonts w:eastAsia="Times New Roman" w:cstheme="minorHAnsi"/>
                <w:color w:val="000000"/>
                <w:lang w:eastAsia="it-IT"/>
              </w:rPr>
              <w:t>94.3 (90.6, 96.6)</w:t>
            </w:r>
          </w:p>
        </w:tc>
      </w:tr>
      <w:tr w:rsidR="00C40D5E" w:rsidRPr="00CE66BE" w14:paraId="6444D5ED" w14:textId="77777777" w:rsidTr="00162987">
        <w:trPr>
          <w:trHeight w:val="283"/>
          <w:jc w:val="center"/>
        </w:trPr>
        <w:tc>
          <w:tcPr>
            <w:tcW w:w="3828" w:type="dxa"/>
            <w:shd w:val="clear" w:color="auto" w:fill="auto"/>
            <w:noWrap/>
            <w:vAlign w:val="center"/>
          </w:tcPr>
          <w:p w14:paraId="28485D95" w14:textId="77777777" w:rsidR="00C40D5E" w:rsidRPr="00CE66BE" w:rsidRDefault="00C40D5E" w:rsidP="00162987">
            <w:pPr>
              <w:spacing w:after="0" w:line="240" w:lineRule="auto"/>
              <w:rPr>
                <w:rFonts w:eastAsia="Times New Roman" w:cstheme="minorHAnsi"/>
                <w:color w:val="000000"/>
                <w:lang w:eastAsia="it-IT"/>
              </w:rPr>
            </w:pPr>
            <w:proofErr w:type="spellStart"/>
            <w:r w:rsidRPr="00CE66BE">
              <w:rPr>
                <w:rFonts w:eastAsia="Times New Roman" w:cstheme="minorHAnsi"/>
                <w:color w:val="000000"/>
                <w:lang w:eastAsia="it-IT"/>
              </w:rPr>
              <w:t>Spain</w:t>
            </w:r>
            <w:proofErr w:type="spellEnd"/>
            <w:r w:rsidRPr="00CE66BE">
              <w:rPr>
                <w:rFonts w:eastAsia="Times New Roman" w:cstheme="minorHAnsi"/>
                <w:color w:val="000000"/>
                <w:lang w:eastAsia="it-IT"/>
              </w:rPr>
              <w:t xml:space="preserve">: </w:t>
            </w:r>
            <w:proofErr w:type="spellStart"/>
            <w:r w:rsidRPr="00CE66BE">
              <w:rPr>
                <w:rFonts w:eastAsia="Times New Roman" w:cstheme="minorHAnsi"/>
                <w:color w:val="000000"/>
                <w:lang w:eastAsia="it-IT"/>
              </w:rPr>
              <w:t>Valencian</w:t>
            </w:r>
            <w:proofErr w:type="spellEnd"/>
            <w:r w:rsidRPr="00CE66BE">
              <w:rPr>
                <w:rFonts w:eastAsia="Times New Roman" w:cstheme="minorHAnsi"/>
                <w:color w:val="000000"/>
                <w:lang w:eastAsia="it-IT"/>
              </w:rPr>
              <w:t xml:space="preserve"> </w:t>
            </w:r>
            <w:proofErr w:type="spellStart"/>
            <w:r w:rsidRPr="00CE66BE">
              <w:rPr>
                <w:rFonts w:eastAsia="Times New Roman" w:cstheme="minorHAnsi"/>
                <w:color w:val="000000"/>
                <w:lang w:eastAsia="it-IT"/>
              </w:rPr>
              <w:t>Region</w:t>
            </w:r>
            <w:proofErr w:type="spellEnd"/>
          </w:p>
        </w:tc>
        <w:tc>
          <w:tcPr>
            <w:tcW w:w="1871" w:type="dxa"/>
            <w:vAlign w:val="center"/>
          </w:tcPr>
          <w:p w14:paraId="7B3ADC37" w14:textId="77777777" w:rsidR="00C40D5E" w:rsidRDefault="00C40D5E" w:rsidP="00162987">
            <w:pPr>
              <w:spacing w:after="0" w:line="240" w:lineRule="auto"/>
              <w:jc w:val="center"/>
              <w:rPr>
                <w:rFonts w:eastAsia="Times New Roman" w:cstheme="minorHAnsi"/>
                <w:color w:val="000000"/>
                <w:lang w:eastAsia="it-IT"/>
              </w:rPr>
            </w:pPr>
            <w:r>
              <w:rPr>
                <w:rFonts w:eastAsia="Times New Roman" w:cstheme="minorHAnsi"/>
                <w:color w:val="000000"/>
                <w:lang w:eastAsia="it-IT"/>
              </w:rPr>
              <w:t>91.8 (89.0, 93.9)</w:t>
            </w:r>
          </w:p>
        </w:tc>
        <w:tc>
          <w:tcPr>
            <w:tcW w:w="1871" w:type="dxa"/>
            <w:vAlign w:val="center"/>
          </w:tcPr>
          <w:p w14:paraId="1C1F27F0" w14:textId="77777777" w:rsidR="00C40D5E" w:rsidRDefault="00C40D5E" w:rsidP="00162987">
            <w:pPr>
              <w:spacing w:after="0" w:line="240" w:lineRule="auto"/>
              <w:jc w:val="center"/>
              <w:rPr>
                <w:rFonts w:eastAsia="Times New Roman" w:cstheme="minorHAnsi"/>
                <w:color w:val="000000"/>
                <w:lang w:eastAsia="it-IT"/>
              </w:rPr>
            </w:pPr>
            <w:r>
              <w:rPr>
                <w:rFonts w:eastAsia="Times New Roman" w:cstheme="minorHAnsi"/>
                <w:color w:val="000000"/>
                <w:lang w:eastAsia="it-IT"/>
              </w:rPr>
              <w:t>85.4 (81.9, 88.3)</w:t>
            </w:r>
          </w:p>
        </w:tc>
        <w:tc>
          <w:tcPr>
            <w:tcW w:w="1871" w:type="dxa"/>
            <w:vAlign w:val="center"/>
          </w:tcPr>
          <w:p w14:paraId="724BE2B3" w14:textId="77777777" w:rsidR="00C40D5E" w:rsidRDefault="00C40D5E" w:rsidP="00162987">
            <w:pPr>
              <w:spacing w:after="0" w:line="240" w:lineRule="auto"/>
              <w:jc w:val="center"/>
              <w:rPr>
                <w:rFonts w:eastAsia="Times New Roman" w:cstheme="minorHAnsi"/>
                <w:color w:val="000000"/>
                <w:lang w:eastAsia="it-IT"/>
              </w:rPr>
            </w:pPr>
            <w:r>
              <w:rPr>
                <w:rFonts w:eastAsia="Times New Roman" w:cstheme="minorHAnsi"/>
                <w:color w:val="000000"/>
                <w:lang w:eastAsia="it-IT"/>
              </w:rPr>
              <w:t>93.1 (90.3, 95.0)</w:t>
            </w:r>
          </w:p>
        </w:tc>
      </w:tr>
      <w:tr w:rsidR="00C40D5E" w:rsidRPr="00CE66BE" w14:paraId="1441A0BA" w14:textId="77777777" w:rsidTr="00162987">
        <w:trPr>
          <w:trHeight w:val="283"/>
          <w:jc w:val="center"/>
        </w:trPr>
        <w:tc>
          <w:tcPr>
            <w:tcW w:w="3828" w:type="dxa"/>
            <w:shd w:val="clear" w:color="auto" w:fill="auto"/>
            <w:noWrap/>
            <w:vAlign w:val="center"/>
          </w:tcPr>
          <w:p w14:paraId="3FCFCA53" w14:textId="77777777" w:rsidR="00C40D5E" w:rsidRPr="00CE66BE" w:rsidRDefault="00C40D5E" w:rsidP="00162987">
            <w:pPr>
              <w:spacing w:after="0" w:line="240" w:lineRule="auto"/>
              <w:rPr>
                <w:rFonts w:eastAsia="Times New Roman" w:cstheme="minorHAnsi"/>
                <w:color w:val="000000"/>
                <w:lang w:eastAsia="it-IT"/>
              </w:rPr>
            </w:pPr>
            <w:r w:rsidRPr="00CE66BE">
              <w:rPr>
                <w:rFonts w:eastAsia="Times New Roman" w:cstheme="minorHAnsi"/>
                <w:color w:val="000000"/>
                <w:lang w:eastAsia="it-IT"/>
              </w:rPr>
              <w:t>UK: Wales</w:t>
            </w:r>
          </w:p>
        </w:tc>
        <w:tc>
          <w:tcPr>
            <w:tcW w:w="1871" w:type="dxa"/>
            <w:vAlign w:val="center"/>
          </w:tcPr>
          <w:p w14:paraId="2191BB34" w14:textId="77777777" w:rsidR="00C40D5E" w:rsidRDefault="00C40D5E" w:rsidP="00162987">
            <w:pPr>
              <w:spacing w:after="0" w:line="240" w:lineRule="auto"/>
              <w:jc w:val="center"/>
              <w:rPr>
                <w:rFonts w:eastAsia="Times New Roman" w:cstheme="minorHAnsi"/>
                <w:color w:val="000000"/>
                <w:lang w:eastAsia="it-IT"/>
              </w:rPr>
            </w:pPr>
            <w:r>
              <w:rPr>
                <w:rFonts w:eastAsia="Times New Roman" w:cstheme="minorHAnsi"/>
                <w:color w:val="000000"/>
                <w:lang w:eastAsia="it-IT"/>
              </w:rPr>
              <w:t>94.6 (92.4, 96.1)</w:t>
            </w:r>
          </w:p>
        </w:tc>
        <w:tc>
          <w:tcPr>
            <w:tcW w:w="1871" w:type="dxa"/>
            <w:vAlign w:val="center"/>
          </w:tcPr>
          <w:p w14:paraId="6EC786B1" w14:textId="77777777" w:rsidR="00C40D5E" w:rsidRDefault="00C40D5E" w:rsidP="00162987">
            <w:pPr>
              <w:spacing w:after="0" w:line="240" w:lineRule="auto"/>
              <w:jc w:val="center"/>
              <w:rPr>
                <w:rFonts w:eastAsia="Times New Roman" w:cstheme="minorHAnsi"/>
                <w:color w:val="000000"/>
                <w:lang w:eastAsia="it-IT"/>
              </w:rPr>
            </w:pPr>
            <w:r>
              <w:rPr>
                <w:rFonts w:eastAsia="Times New Roman" w:cstheme="minorHAnsi"/>
                <w:color w:val="000000"/>
                <w:lang w:eastAsia="it-IT"/>
              </w:rPr>
              <w:t>89.2 (86.4, 91.5)</w:t>
            </w:r>
          </w:p>
        </w:tc>
        <w:tc>
          <w:tcPr>
            <w:tcW w:w="1871" w:type="dxa"/>
            <w:vAlign w:val="center"/>
          </w:tcPr>
          <w:p w14:paraId="7787151B" w14:textId="77777777" w:rsidR="00C40D5E" w:rsidRDefault="00C40D5E" w:rsidP="00162987">
            <w:pPr>
              <w:spacing w:after="0" w:line="240" w:lineRule="auto"/>
              <w:jc w:val="center"/>
              <w:rPr>
                <w:rFonts w:eastAsia="Times New Roman" w:cstheme="minorHAnsi"/>
                <w:color w:val="000000"/>
                <w:lang w:eastAsia="it-IT"/>
              </w:rPr>
            </w:pPr>
            <w:r>
              <w:rPr>
                <w:rFonts w:eastAsia="Times New Roman" w:cstheme="minorHAnsi"/>
                <w:color w:val="000000"/>
                <w:lang w:eastAsia="it-IT"/>
              </w:rPr>
              <w:t>94.3 (92.1, 95.9)</w:t>
            </w:r>
          </w:p>
        </w:tc>
      </w:tr>
      <w:tr w:rsidR="00C40D5E" w:rsidRPr="00CE66BE" w14:paraId="595F4F7E" w14:textId="77777777" w:rsidTr="00162987">
        <w:trPr>
          <w:trHeight w:val="283"/>
          <w:jc w:val="center"/>
        </w:trPr>
        <w:tc>
          <w:tcPr>
            <w:tcW w:w="3828" w:type="dxa"/>
            <w:shd w:val="clear" w:color="auto" w:fill="auto"/>
            <w:noWrap/>
            <w:vAlign w:val="center"/>
          </w:tcPr>
          <w:p w14:paraId="34BFB30C" w14:textId="77777777" w:rsidR="00C40D5E" w:rsidRPr="00CE66BE" w:rsidRDefault="00C40D5E" w:rsidP="00162987">
            <w:pPr>
              <w:spacing w:after="0" w:line="240" w:lineRule="auto"/>
              <w:rPr>
                <w:rFonts w:eastAsia="Times New Roman" w:cstheme="minorHAnsi"/>
                <w:color w:val="000000"/>
                <w:lang w:eastAsia="it-IT"/>
              </w:rPr>
            </w:pPr>
            <w:r w:rsidRPr="00CE66BE">
              <w:rPr>
                <w:rFonts w:eastAsia="Times New Roman" w:cstheme="minorHAnsi"/>
                <w:color w:val="000000"/>
                <w:lang w:eastAsia="it-IT"/>
              </w:rPr>
              <w:t xml:space="preserve">UK: </w:t>
            </w:r>
            <w:proofErr w:type="spellStart"/>
            <w:r w:rsidRPr="00CE66BE">
              <w:rPr>
                <w:rFonts w:eastAsia="Times New Roman" w:cstheme="minorHAnsi"/>
                <w:color w:val="000000"/>
                <w:lang w:eastAsia="it-IT"/>
              </w:rPr>
              <w:t>Thames</w:t>
            </w:r>
            <w:proofErr w:type="spellEnd"/>
            <w:r w:rsidRPr="00CE66BE">
              <w:rPr>
                <w:rFonts w:eastAsia="Times New Roman" w:cstheme="minorHAnsi"/>
                <w:color w:val="000000"/>
                <w:lang w:eastAsia="it-IT"/>
              </w:rPr>
              <w:t xml:space="preserve"> Valley</w:t>
            </w:r>
          </w:p>
        </w:tc>
        <w:tc>
          <w:tcPr>
            <w:tcW w:w="1871" w:type="dxa"/>
            <w:vAlign w:val="center"/>
          </w:tcPr>
          <w:p w14:paraId="3944A508" w14:textId="77777777" w:rsidR="00C40D5E" w:rsidRDefault="00C40D5E" w:rsidP="00162987">
            <w:pPr>
              <w:spacing w:after="0" w:line="240" w:lineRule="auto"/>
              <w:jc w:val="center"/>
              <w:rPr>
                <w:rFonts w:eastAsia="Times New Roman" w:cstheme="minorHAnsi"/>
                <w:color w:val="000000"/>
                <w:lang w:eastAsia="it-IT"/>
              </w:rPr>
            </w:pPr>
            <w:r>
              <w:rPr>
                <w:rFonts w:eastAsia="Times New Roman" w:cstheme="minorHAnsi"/>
                <w:color w:val="000000"/>
                <w:lang w:eastAsia="it-IT"/>
              </w:rPr>
              <w:t>90.3 (86.4, 93.1)</w:t>
            </w:r>
          </w:p>
        </w:tc>
        <w:tc>
          <w:tcPr>
            <w:tcW w:w="1871" w:type="dxa"/>
            <w:vAlign w:val="center"/>
          </w:tcPr>
          <w:p w14:paraId="197BFD4C" w14:textId="77777777" w:rsidR="00C40D5E" w:rsidRDefault="00C40D5E" w:rsidP="00162987">
            <w:pPr>
              <w:spacing w:after="0" w:line="240" w:lineRule="auto"/>
              <w:jc w:val="center"/>
              <w:rPr>
                <w:rFonts w:eastAsia="Times New Roman" w:cstheme="minorHAnsi"/>
                <w:color w:val="000000"/>
                <w:lang w:eastAsia="it-IT"/>
              </w:rPr>
            </w:pPr>
            <w:r>
              <w:rPr>
                <w:rFonts w:eastAsia="Times New Roman" w:cstheme="minorHAnsi"/>
                <w:color w:val="000000"/>
                <w:lang w:eastAsia="it-IT"/>
              </w:rPr>
              <w:t>81.6 (76.7, 85.6)</w:t>
            </w:r>
          </w:p>
        </w:tc>
        <w:tc>
          <w:tcPr>
            <w:tcW w:w="1871" w:type="dxa"/>
            <w:vAlign w:val="center"/>
          </w:tcPr>
          <w:p w14:paraId="44B11AD6" w14:textId="77777777" w:rsidR="00C40D5E" w:rsidRDefault="00C40D5E" w:rsidP="00162987">
            <w:pPr>
              <w:spacing w:after="0" w:line="240" w:lineRule="auto"/>
              <w:jc w:val="center"/>
              <w:rPr>
                <w:rFonts w:eastAsia="Times New Roman" w:cstheme="minorHAnsi"/>
                <w:color w:val="000000"/>
                <w:lang w:eastAsia="it-IT"/>
              </w:rPr>
            </w:pPr>
            <w:r>
              <w:rPr>
                <w:rFonts w:eastAsia="Times New Roman" w:cstheme="minorHAnsi"/>
                <w:color w:val="000000"/>
                <w:lang w:eastAsia="it-IT"/>
              </w:rPr>
              <w:t>90.4 (86.5, 93.2)</w:t>
            </w:r>
          </w:p>
        </w:tc>
      </w:tr>
      <w:tr w:rsidR="00C40D5E" w:rsidRPr="00CE66BE" w14:paraId="688BE188" w14:textId="77777777" w:rsidTr="00162987">
        <w:trPr>
          <w:trHeight w:val="283"/>
          <w:jc w:val="center"/>
        </w:trPr>
        <w:tc>
          <w:tcPr>
            <w:tcW w:w="3828" w:type="dxa"/>
            <w:shd w:val="clear" w:color="auto" w:fill="auto"/>
            <w:noWrap/>
            <w:vAlign w:val="center"/>
          </w:tcPr>
          <w:p w14:paraId="3879871D" w14:textId="77777777" w:rsidR="00C40D5E" w:rsidRPr="00CE66BE" w:rsidRDefault="00C40D5E" w:rsidP="00162987">
            <w:pPr>
              <w:spacing w:after="0" w:line="240" w:lineRule="auto"/>
              <w:rPr>
                <w:rFonts w:eastAsia="Times New Roman" w:cstheme="minorHAnsi"/>
                <w:color w:val="000000"/>
                <w:lang w:eastAsia="it-IT"/>
              </w:rPr>
            </w:pPr>
            <w:r w:rsidRPr="00CE66BE">
              <w:rPr>
                <w:rFonts w:eastAsia="Times New Roman" w:cstheme="minorHAnsi"/>
                <w:color w:val="000000"/>
                <w:lang w:eastAsia="it-IT"/>
              </w:rPr>
              <w:t>UK: Wessex</w:t>
            </w:r>
          </w:p>
        </w:tc>
        <w:tc>
          <w:tcPr>
            <w:tcW w:w="1871" w:type="dxa"/>
            <w:vAlign w:val="center"/>
          </w:tcPr>
          <w:p w14:paraId="2941446B" w14:textId="77777777" w:rsidR="00C40D5E" w:rsidRDefault="00C40D5E" w:rsidP="00162987">
            <w:pPr>
              <w:spacing w:after="0" w:line="240" w:lineRule="auto"/>
              <w:jc w:val="center"/>
              <w:rPr>
                <w:rFonts w:eastAsia="Times New Roman" w:cstheme="minorHAnsi"/>
                <w:color w:val="000000"/>
                <w:lang w:eastAsia="it-IT"/>
              </w:rPr>
            </w:pPr>
            <w:r>
              <w:rPr>
                <w:rFonts w:eastAsia="Times New Roman" w:cstheme="minorHAnsi"/>
                <w:color w:val="000000"/>
                <w:lang w:eastAsia="it-IT"/>
              </w:rPr>
              <w:t>93.8 (90.9, 95.8)</w:t>
            </w:r>
          </w:p>
        </w:tc>
        <w:tc>
          <w:tcPr>
            <w:tcW w:w="1871" w:type="dxa"/>
            <w:vAlign w:val="center"/>
          </w:tcPr>
          <w:p w14:paraId="47EA9164" w14:textId="77777777" w:rsidR="00C40D5E" w:rsidRDefault="00C40D5E" w:rsidP="00162987">
            <w:pPr>
              <w:spacing w:after="0" w:line="240" w:lineRule="auto"/>
              <w:jc w:val="center"/>
              <w:rPr>
                <w:rFonts w:eastAsia="Times New Roman" w:cstheme="minorHAnsi"/>
                <w:color w:val="000000"/>
                <w:lang w:eastAsia="it-IT"/>
              </w:rPr>
            </w:pPr>
            <w:r>
              <w:rPr>
                <w:rFonts w:eastAsia="Times New Roman" w:cstheme="minorHAnsi"/>
                <w:color w:val="000000"/>
                <w:lang w:eastAsia="it-IT"/>
              </w:rPr>
              <w:t>86.5 (82.6, 89.5)</w:t>
            </w:r>
          </w:p>
        </w:tc>
        <w:tc>
          <w:tcPr>
            <w:tcW w:w="1871" w:type="dxa"/>
            <w:vAlign w:val="center"/>
          </w:tcPr>
          <w:p w14:paraId="0CD87EFA" w14:textId="77777777" w:rsidR="00C40D5E" w:rsidRDefault="00C40D5E" w:rsidP="00162987">
            <w:pPr>
              <w:spacing w:after="0" w:line="240" w:lineRule="auto"/>
              <w:jc w:val="center"/>
              <w:rPr>
                <w:rFonts w:eastAsia="Times New Roman" w:cstheme="minorHAnsi"/>
                <w:color w:val="000000"/>
                <w:lang w:eastAsia="it-IT"/>
              </w:rPr>
            </w:pPr>
            <w:r>
              <w:rPr>
                <w:rFonts w:eastAsia="Times New Roman" w:cstheme="minorHAnsi"/>
                <w:color w:val="000000"/>
                <w:lang w:eastAsia="it-IT"/>
              </w:rPr>
              <w:t>92.2 (88.9, 94.5)</w:t>
            </w:r>
          </w:p>
        </w:tc>
      </w:tr>
      <w:tr w:rsidR="00C40D5E" w:rsidRPr="00654C73" w14:paraId="5457BECB" w14:textId="77777777" w:rsidTr="00162987">
        <w:trPr>
          <w:trHeight w:val="283"/>
          <w:jc w:val="center"/>
        </w:trPr>
        <w:tc>
          <w:tcPr>
            <w:tcW w:w="3828" w:type="dxa"/>
            <w:shd w:val="clear" w:color="auto" w:fill="auto"/>
            <w:noWrap/>
            <w:vAlign w:val="center"/>
          </w:tcPr>
          <w:p w14:paraId="59581EC2" w14:textId="77777777" w:rsidR="00C40D5E" w:rsidRPr="00CE66BE" w:rsidRDefault="00C40D5E" w:rsidP="00162987">
            <w:pPr>
              <w:spacing w:after="0" w:line="240" w:lineRule="auto"/>
              <w:rPr>
                <w:rFonts w:eastAsia="Times New Roman" w:cstheme="minorHAnsi"/>
                <w:color w:val="000000"/>
                <w:lang w:val="en-GB" w:eastAsia="it-IT"/>
              </w:rPr>
            </w:pPr>
            <w:r w:rsidRPr="00CE66BE">
              <w:rPr>
                <w:rFonts w:eastAsia="Times New Roman" w:cstheme="minorHAnsi"/>
                <w:color w:val="000000"/>
                <w:lang w:val="en-GB" w:eastAsia="it-IT"/>
              </w:rPr>
              <w:t>UK:  East Midlands and South Yorkshire</w:t>
            </w:r>
          </w:p>
        </w:tc>
        <w:tc>
          <w:tcPr>
            <w:tcW w:w="1871" w:type="dxa"/>
            <w:vAlign w:val="center"/>
          </w:tcPr>
          <w:p w14:paraId="24A0D816" w14:textId="77777777" w:rsidR="00C40D5E" w:rsidRPr="00654C73" w:rsidRDefault="00C40D5E" w:rsidP="00162987">
            <w:pPr>
              <w:spacing w:after="0" w:line="240" w:lineRule="auto"/>
              <w:jc w:val="center"/>
              <w:rPr>
                <w:rFonts w:eastAsia="Times New Roman" w:cstheme="minorHAnsi"/>
                <w:color w:val="000000"/>
                <w:lang w:val="en-GB" w:eastAsia="it-IT"/>
              </w:rPr>
            </w:pPr>
            <w:r>
              <w:rPr>
                <w:rFonts w:eastAsia="Times New Roman" w:cstheme="minorHAnsi"/>
                <w:color w:val="000000"/>
                <w:lang w:val="en-GB" w:eastAsia="it-IT"/>
              </w:rPr>
              <w:t>91.9 (89.8, 93.6)</w:t>
            </w:r>
          </w:p>
        </w:tc>
        <w:tc>
          <w:tcPr>
            <w:tcW w:w="1871" w:type="dxa"/>
            <w:vAlign w:val="center"/>
          </w:tcPr>
          <w:p w14:paraId="498E9524" w14:textId="77777777" w:rsidR="00C40D5E" w:rsidRPr="00654C73" w:rsidRDefault="00C40D5E" w:rsidP="00162987">
            <w:pPr>
              <w:spacing w:after="0" w:line="240" w:lineRule="auto"/>
              <w:jc w:val="center"/>
              <w:rPr>
                <w:rFonts w:eastAsia="Times New Roman" w:cstheme="minorHAnsi"/>
                <w:color w:val="000000"/>
                <w:lang w:val="en-GB" w:eastAsia="it-IT"/>
              </w:rPr>
            </w:pPr>
            <w:r>
              <w:rPr>
                <w:rFonts w:eastAsia="Times New Roman" w:cstheme="minorHAnsi"/>
                <w:color w:val="000000"/>
                <w:lang w:val="en-GB" w:eastAsia="it-IT"/>
              </w:rPr>
              <w:t>82.6 (79.8, 85.1)</w:t>
            </w:r>
          </w:p>
        </w:tc>
        <w:tc>
          <w:tcPr>
            <w:tcW w:w="1871" w:type="dxa"/>
            <w:vAlign w:val="center"/>
          </w:tcPr>
          <w:p w14:paraId="7DFC550D" w14:textId="77777777" w:rsidR="00C40D5E" w:rsidRPr="00654C73" w:rsidRDefault="00C40D5E" w:rsidP="00162987">
            <w:pPr>
              <w:spacing w:after="0" w:line="240" w:lineRule="auto"/>
              <w:jc w:val="center"/>
              <w:rPr>
                <w:rFonts w:eastAsia="Times New Roman" w:cstheme="minorHAnsi"/>
                <w:color w:val="000000"/>
                <w:lang w:val="en-GB" w:eastAsia="it-IT"/>
              </w:rPr>
            </w:pPr>
            <w:r>
              <w:rPr>
                <w:rFonts w:eastAsia="Times New Roman" w:cstheme="minorHAnsi"/>
                <w:color w:val="000000"/>
                <w:lang w:val="en-GB" w:eastAsia="it-IT"/>
              </w:rPr>
              <w:t>89.9 (87.5, 91.9)</w:t>
            </w:r>
          </w:p>
        </w:tc>
      </w:tr>
      <w:tr w:rsidR="00C40D5E" w:rsidRPr="00CE66BE" w14:paraId="705E572A" w14:textId="77777777" w:rsidTr="00162987">
        <w:trPr>
          <w:trHeight w:val="283"/>
          <w:jc w:val="center"/>
        </w:trPr>
        <w:tc>
          <w:tcPr>
            <w:tcW w:w="3828" w:type="dxa"/>
            <w:shd w:val="clear" w:color="auto" w:fill="auto"/>
            <w:noWrap/>
            <w:vAlign w:val="center"/>
          </w:tcPr>
          <w:p w14:paraId="453F6150" w14:textId="77777777" w:rsidR="00C40D5E" w:rsidRPr="00CE66BE" w:rsidRDefault="00C40D5E" w:rsidP="00162987">
            <w:pPr>
              <w:spacing w:after="0" w:line="240" w:lineRule="auto"/>
              <w:rPr>
                <w:rFonts w:eastAsia="Times New Roman" w:cstheme="minorHAnsi"/>
                <w:color w:val="000000"/>
                <w:lang w:eastAsia="it-IT"/>
              </w:rPr>
            </w:pPr>
            <w:r w:rsidRPr="00CE66BE">
              <w:rPr>
                <w:rFonts w:eastAsia="Times New Roman" w:cstheme="minorHAnsi"/>
                <w:color w:val="000000"/>
                <w:lang w:eastAsia="it-IT"/>
              </w:rPr>
              <w:t>Ukraine: OMNI-Net</w:t>
            </w:r>
          </w:p>
        </w:tc>
        <w:tc>
          <w:tcPr>
            <w:tcW w:w="1871" w:type="dxa"/>
            <w:vAlign w:val="center"/>
          </w:tcPr>
          <w:p w14:paraId="2B8525A9" w14:textId="77777777" w:rsidR="00C40D5E" w:rsidRDefault="00C40D5E" w:rsidP="00162987">
            <w:pPr>
              <w:spacing w:after="0" w:line="240" w:lineRule="auto"/>
              <w:jc w:val="center"/>
              <w:rPr>
                <w:rFonts w:eastAsia="Times New Roman" w:cstheme="minorHAnsi"/>
                <w:color w:val="000000"/>
                <w:lang w:eastAsia="it-IT"/>
              </w:rPr>
            </w:pPr>
            <w:r>
              <w:rPr>
                <w:rFonts w:eastAsia="Times New Roman" w:cstheme="minorHAnsi"/>
                <w:color w:val="000000"/>
                <w:lang w:eastAsia="it-IT"/>
              </w:rPr>
              <w:t>72.3 (67.4, 76.7)</w:t>
            </w:r>
          </w:p>
        </w:tc>
        <w:tc>
          <w:tcPr>
            <w:tcW w:w="1871" w:type="dxa"/>
            <w:vAlign w:val="center"/>
          </w:tcPr>
          <w:p w14:paraId="2E0297F1" w14:textId="77777777" w:rsidR="00C40D5E" w:rsidRDefault="00C40D5E" w:rsidP="00162987">
            <w:pPr>
              <w:spacing w:after="0" w:line="240" w:lineRule="auto"/>
              <w:jc w:val="center"/>
              <w:rPr>
                <w:rFonts w:eastAsia="Times New Roman" w:cstheme="minorHAnsi"/>
                <w:color w:val="000000"/>
                <w:lang w:eastAsia="it-IT"/>
              </w:rPr>
            </w:pPr>
            <w:r>
              <w:rPr>
                <w:rFonts w:eastAsia="Times New Roman" w:cstheme="minorHAnsi"/>
                <w:color w:val="000000"/>
                <w:lang w:eastAsia="it-IT"/>
              </w:rPr>
              <w:t>57.5 (52.1, 62.4)</w:t>
            </w:r>
          </w:p>
        </w:tc>
        <w:tc>
          <w:tcPr>
            <w:tcW w:w="1871" w:type="dxa"/>
            <w:vAlign w:val="center"/>
          </w:tcPr>
          <w:p w14:paraId="348BC055" w14:textId="77777777" w:rsidR="00C40D5E" w:rsidRDefault="00C40D5E" w:rsidP="00162987">
            <w:pPr>
              <w:spacing w:after="0" w:line="240" w:lineRule="auto"/>
              <w:jc w:val="center"/>
              <w:rPr>
                <w:rFonts w:eastAsia="Times New Roman" w:cstheme="minorHAnsi"/>
                <w:color w:val="000000"/>
                <w:lang w:eastAsia="it-IT"/>
              </w:rPr>
            </w:pPr>
            <w:r>
              <w:rPr>
                <w:rFonts w:eastAsia="Times New Roman" w:cstheme="minorHAnsi"/>
                <w:color w:val="000000"/>
                <w:lang w:eastAsia="it-IT"/>
              </w:rPr>
              <w:t>79.4 (74.1, 83.8)</w:t>
            </w:r>
          </w:p>
        </w:tc>
      </w:tr>
    </w:tbl>
    <w:p w14:paraId="233B5D4C" w14:textId="77777777" w:rsidR="00C40D5E" w:rsidRDefault="00C40D5E" w:rsidP="00C40D5E">
      <w:pPr>
        <w:spacing w:after="0" w:line="240" w:lineRule="auto"/>
        <w:rPr>
          <w:rFonts w:cstheme="minorHAnsi"/>
          <w:sz w:val="18"/>
          <w:szCs w:val="18"/>
          <w:lang w:val="en-GB"/>
        </w:rPr>
      </w:pPr>
      <w:r w:rsidRPr="00E76091">
        <w:rPr>
          <w:rFonts w:cstheme="minorHAnsi"/>
          <w:sz w:val="18"/>
          <w:szCs w:val="18"/>
          <w:vertAlign w:val="superscript"/>
          <w:lang w:val="en-GB"/>
        </w:rPr>
        <w:t>#</w:t>
      </w:r>
      <w:r>
        <w:rPr>
          <w:rFonts w:cstheme="minorHAnsi"/>
          <w:sz w:val="18"/>
          <w:szCs w:val="18"/>
          <w:vertAlign w:val="superscript"/>
          <w:lang w:val="en-GB"/>
        </w:rPr>
        <w:t xml:space="preserve"> </w:t>
      </w:r>
      <w:r w:rsidRPr="00E76091">
        <w:rPr>
          <w:rFonts w:cstheme="minorHAnsi"/>
          <w:sz w:val="18"/>
          <w:szCs w:val="18"/>
          <w:lang w:val="en-GB"/>
        </w:rPr>
        <w:t>For Belgium: Antwerp registry, deaths during the first year of life were only available (NA=not available)</w:t>
      </w:r>
    </w:p>
    <w:p w14:paraId="3776FAE9" w14:textId="77777777" w:rsidR="00C40D5E" w:rsidRDefault="00C40D5E" w:rsidP="00C40D5E">
      <w:pPr>
        <w:spacing w:after="0" w:line="240" w:lineRule="auto"/>
        <w:rPr>
          <w:rFonts w:cstheme="minorHAnsi"/>
          <w:sz w:val="18"/>
          <w:szCs w:val="18"/>
          <w:vertAlign w:val="superscript"/>
          <w:lang w:val="en-GB"/>
        </w:rPr>
      </w:pPr>
      <w:r w:rsidRPr="00E76091">
        <w:rPr>
          <w:rFonts w:cstheme="minorHAnsi"/>
          <w:sz w:val="20"/>
          <w:szCs w:val="20"/>
          <w:vertAlign w:val="superscript"/>
          <w:lang w:val="en-GB"/>
        </w:rPr>
        <w:t>§</w:t>
      </w:r>
      <w:r>
        <w:rPr>
          <w:rFonts w:cstheme="minorHAnsi"/>
          <w:sz w:val="18"/>
          <w:szCs w:val="18"/>
          <w:vertAlign w:val="superscript"/>
          <w:lang w:val="en-GB"/>
        </w:rPr>
        <w:t xml:space="preserve"> </w:t>
      </w:r>
      <w:r w:rsidRPr="00EA292F">
        <w:rPr>
          <w:rFonts w:cstheme="minorHAnsi"/>
          <w:sz w:val="18"/>
          <w:szCs w:val="18"/>
          <w:lang w:val="en-GB"/>
        </w:rPr>
        <w:t>Data for Denmark: Funen could not be displayed due to small numbers</w:t>
      </w:r>
      <w:r>
        <w:rPr>
          <w:rFonts w:cstheme="minorHAnsi"/>
          <w:sz w:val="18"/>
          <w:szCs w:val="18"/>
          <w:lang w:val="en-GB"/>
        </w:rPr>
        <w:t xml:space="preserve"> </w:t>
      </w:r>
      <w:r w:rsidRPr="00E76091">
        <w:rPr>
          <w:rFonts w:cstheme="minorHAnsi"/>
          <w:sz w:val="18"/>
          <w:szCs w:val="18"/>
          <w:lang w:val="en-GB"/>
        </w:rPr>
        <w:t>(NA=not available)</w:t>
      </w:r>
    </w:p>
    <w:p w14:paraId="6A848F5D" w14:textId="77777777" w:rsidR="00C40D5E" w:rsidRDefault="00C40D5E" w:rsidP="00C40D5E">
      <w:pPr>
        <w:spacing w:after="0" w:line="240" w:lineRule="auto"/>
        <w:rPr>
          <w:rFonts w:cstheme="minorHAnsi"/>
          <w:sz w:val="18"/>
          <w:szCs w:val="18"/>
          <w:lang w:val="en-GB"/>
        </w:rPr>
      </w:pPr>
      <w:r w:rsidRPr="0051290F">
        <w:rPr>
          <w:rFonts w:cstheme="minorHAnsi"/>
          <w:sz w:val="18"/>
          <w:szCs w:val="18"/>
          <w:lang w:val="en-GB"/>
        </w:rPr>
        <w:t>* In Malta termination of pregnancy is illegal</w:t>
      </w:r>
    </w:p>
    <w:p w14:paraId="7A7CD100" w14:textId="721A836E" w:rsidR="00C40D5E" w:rsidRDefault="00C40D5E" w:rsidP="00C40D5E">
      <w:pPr>
        <w:spacing w:after="0" w:line="240" w:lineRule="auto"/>
        <w:rPr>
          <w:rFonts w:cstheme="minorHAnsi"/>
          <w:sz w:val="18"/>
          <w:szCs w:val="18"/>
          <w:lang w:val="en-GB"/>
        </w:rPr>
      </w:pPr>
      <w:r w:rsidRPr="00E76091">
        <w:rPr>
          <w:rFonts w:eastAsia="Times New Roman" w:cstheme="minorHAnsi"/>
          <w:b/>
          <w:bCs/>
          <w:color w:val="000000"/>
          <w:vertAlign w:val="superscript"/>
          <w:lang w:val="en-GB"/>
        </w:rPr>
        <w:t>^</w:t>
      </w:r>
      <w:r w:rsidRPr="00E76091">
        <w:rPr>
          <w:rFonts w:cstheme="minorHAnsi"/>
          <w:sz w:val="18"/>
          <w:szCs w:val="18"/>
          <w:lang w:val="en-GB"/>
        </w:rPr>
        <w:t xml:space="preserve">Severe CHD included: common arterial truncus, double outlet right ventricle, transposition of great vessels, single ventricle, atrioventricular septal defect, tetralogy of </w:t>
      </w:r>
      <w:proofErr w:type="spellStart"/>
      <w:r w:rsidRPr="00E76091">
        <w:rPr>
          <w:rFonts w:cstheme="minorHAnsi"/>
          <w:sz w:val="18"/>
          <w:szCs w:val="18"/>
          <w:lang w:val="en-GB"/>
        </w:rPr>
        <w:t>Fallot</w:t>
      </w:r>
      <w:proofErr w:type="spellEnd"/>
      <w:r w:rsidRPr="00E76091">
        <w:rPr>
          <w:rFonts w:cstheme="minorHAnsi"/>
          <w:sz w:val="18"/>
          <w:szCs w:val="18"/>
          <w:lang w:val="en-GB"/>
        </w:rPr>
        <w:t xml:space="preserve">, pulmonary valve atresia, </w:t>
      </w:r>
      <w:proofErr w:type="spellStart"/>
      <w:r w:rsidRPr="00E76091">
        <w:rPr>
          <w:rFonts w:cstheme="minorHAnsi"/>
          <w:sz w:val="18"/>
          <w:szCs w:val="18"/>
          <w:lang w:val="en-GB"/>
        </w:rPr>
        <w:t>triscuspid</w:t>
      </w:r>
      <w:proofErr w:type="spellEnd"/>
      <w:r w:rsidRPr="00E76091">
        <w:rPr>
          <w:rFonts w:cstheme="minorHAnsi"/>
          <w:sz w:val="18"/>
          <w:szCs w:val="18"/>
          <w:lang w:val="en-GB"/>
        </w:rPr>
        <w:t xml:space="preserve"> atresia and stenosis, </w:t>
      </w:r>
      <w:proofErr w:type="spellStart"/>
      <w:r w:rsidRPr="00E76091">
        <w:rPr>
          <w:rFonts w:cstheme="minorHAnsi"/>
          <w:sz w:val="18"/>
          <w:szCs w:val="18"/>
          <w:lang w:val="en-GB"/>
        </w:rPr>
        <w:t>Ebstein</w:t>
      </w:r>
      <w:proofErr w:type="spellEnd"/>
      <w:r w:rsidRPr="00E76091">
        <w:rPr>
          <w:rFonts w:cstheme="minorHAnsi"/>
          <w:sz w:val="18"/>
          <w:szCs w:val="18"/>
          <w:lang w:val="en-GB"/>
        </w:rPr>
        <w:t xml:space="preserve"> anomaly, </w:t>
      </w:r>
      <w:proofErr w:type="spellStart"/>
      <w:r w:rsidRPr="00E76091">
        <w:rPr>
          <w:rFonts w:cstheme="minorHAnsi"/>
          <w:sz w:val="18"/>
          <w:szCs w:val="18"/>
          <w:lang w:val="en-GB"/>
        </w:rPr>
        <w:t>hypoplastic</w:t>
      </w:r>
      <w:proofErr w:type="spellEnd"/>
      <w:r w:rsidRPr="00E76091">
        <w:rPr>
          <w:rFonts w:cstheme="minorHAnsi"/>
          <w:sz w:val="18"/>
          <w:szCs w:val="18"/>
          <w:lang w:val="en-GB"/>
        </w:rPr>
        <w:t xml:space="preserve"> right heart, aortic valve atresia/stenosis, mitral valve anomalies, </w:t>
      </w:r>
      <w:proofErr w:type="spellStart"/>
      <w:r w:rsidRPr="00E76091">
        <w:rPr>
          <w:rFonts w:cstheme="minorHAnsi"/>
          <w:sz w:val="18"/>
          <w:szCs w:val="18"/>
          <w:lang w:val="en-GB"/>
        </w:rPr>
        <w:t>hypoplastic</w:t>
      </w:r>
      <w:proofErr w:type="spellEnd"/>
      <w:r w:rsidRPr="00E76091">
        <w:rPr>
          <w:rFonts w:cstheme="minorHAnsi"/>
          <w:sz w:val="18"/>
          <w:szCs w:val="18"/>
          <w:lang w:val="en-GB"/>
        </w:rPr>
        <w:t xml:space="preserve"> left heart, </w:t>
      </w:r>
      <w:proofErr w:type="spellStart"/>
      <w:r w:rsidRPr="00E76091">
        <w:rPr>
          <w:rFonts w:cstheme="minorHAnsi"/>
          <w:sz w:val="18"/>
          <w:szCs w:val="18"/>
          <w:lang w:val="en-GB"/>
        </w:rPr>
        <w:t>coarctation</w:t>
      </w:r>
      <w:proofErr w:type="spellEnd"/>
      <w:r w:rsidRPr="00E76091">
        <w:rPr>
          <w:rFonts w:cstheme="minorHAnsi"/>
          <w:sz w:val="18"/>
          <w:szCs w:val="18"/>
          <w:lang w:val="en-GB"/>
        </w:rPr>
        <w:t xml:space="preserve"> of aorta, aortic atresia/interrupted aortic arch, total anomalous pulmonary venous return </w:t>
      </w:r>
    </w:p>
    <w:p w14:paraId="7E30FB8F" w14:textId="77777777" w:rsidR="00162987" w:rsidRPr="00E76091" w:rsidRDefault="00162987" w:rsidP="00C40D5E">
      <w:pPr>
        <w:spacing w:after="0" w:line="240" w:lineRule="auto"/>
        <w:rPr>
          <w:rFonts w:cstheme="minorHAnsi"/>
          <w:sz w:val="18"/>
          <w:szCs w:val="18"/>
          <w:lang w:val="en-GB"/>
        </w:rPr>
      </w:pPr>
    </w:p>
    <w:p w14:paraId="1EDB63E8" w14:textId="77777777" w:rsidR="00162987" w:rsidRPr="000D14BE" w:rsidRDefault="00162987" w:rsidP="00162987">
      <w:pPr>
        <w:rPr>
          <w:rFonts w:cstheme="minorHAnsi"/>
          <w:lang w:val="en-GB"/>
        </w:rPr>
      </w:pPr>
      <w:r w:rsidRPr="000D14BE">
        <w:rPr>
          <w:rFonts w:cstheme="minorHAnsi"/>
          <w:b/>
          <w:lang w:val="en-GB"/>
        </w:rPr>
        <w:lastRenderedPageBreak/>
        <w:t>Table 4</w:t>
      </w:r>
      <w:r w:rsidRPr="000D14BE">
        <w:rPr>
          <w:rFonts w:cstheme="minorHAnsi"/>
          <w:lang w:val="en-GB"/>
        </w:rPr>
        <w:t xml:space="preserve"> Infant deaths (&lt; 1 year) of children with a major congenital anomaly per 10,000 live births in the total population; deaths occurring during the first 28 days</w:t>
      </w:r>
      <w:r>
        <w:rPr>
          <w:rFonts w:cstheme="minorHAnsi"/>
          <w:lang w:val="en-GB"/>
        </w:rPr>
        <w:t xml:space="preserve"> and 7 days</w:t>
      </w:r>
      <w:r w:rsidRPr="000D14BE">
        <w:rPr>
          <w:rFonts w:cstheme="minorHAnsi"/>
          <w:lang w:val="en-GB"/>
        </w:rPr>
        <w:t xml:space="preserve"> as a percentage of deaths occurring during the first year of life, by registry (birth year period: 2005-2014).</w:t>
      </w:r>
    </w:p>
    <w:tbl>
      <w:tblPr>
        <w:tblW w:w="9253" w:type="dxa"/>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3686"/>
        <w:gridCol w:w="1134"/>
        <w:gridCol w:w="1417"/>
        <w:gridCol w:w="1508"/>
        <w:gridCol w:w="1508"/>
      </w:tblGrid>
      <w:tr w:rsidR="00162987" w:rsidRPr="00332500" w14:paraId="4ED31DA1" w14:textId="77777777" w:rsidTr="00162987">
        <w:trPr>
          <w:trHeight w:val="283"/>
        </w:trPr>
        <w:tc>
          <w:tcPr>
            <w:tcW w:w="3686" w:type="dxa"/>
            <w:tcBorders>
              <w:top w:val="single" w:sz="4" w:space="0" w:color="auto"/>
              <w:bottom w:val="single" w:sz="4" w:space="0" w:color="auto"/>
            </w:tcBorders>
            <w:shd w:val="clear" w:color="auto" w:fill="auto"/>
            <w:noWrap/>
            <w:hideMark/>
          </w:tcPr>
          <w:p w14:paraId="6194744D" w14:textId="77777777" w:rsidR="00162987" w:rsidRPr="000D14BE" w:rsidRDefault="00162987" w:rsidP="00162987">
            <w:pPr>
              <w:spacing w:after="0" w:line="240" w:lineRule="auto"/>
              <w:rPr>
                <w:rFonts w:eastAsia="Times New Roman" w:cstheme="minorHAnsi"/>
                <w:b/>
                <w:bCs/>
                <w:color w:val="000000"/>
                <w:lang w:eastAsia="it-IT"/>
              </w:rPr>
            </w:pPr>
            <w:proofErr w:type="spellStart"/>
            <w:r w:rsidRPr="000D14BE">
              <w:rPr>
                <w:rFonts w:eastAsia="Times New Roman" w:cstheme="minorHAnsi"/>
                <w:b/>
                <w:bCs/>
                <w:color w:val="000000"/>
                <w:lang w:eastAsia="it-IT"/>
              </w:rPr>
              <w:t>Registry</w:t>
            </w:r>
            <w:proofErr w:type="spellEnd"/>
          </w:p>
        </w:tc>
        <w:tc>
          <w:tcPr>
            <w:tcW w:w="1134" w:type="dxa"/>
            <w:tcBorders>
              <w:top w:val="single" w:sz="4" w:space="0" w:color="auto"/>
              <w:bottom w:val="single" w:sz="4" w:space="0" w:color="auto"/>
            </w:tcBorders>
            <w:shd w:val="clear" w:color="auto" w:fill="auto"/>
            <w:noWrap/>
          </w:tcPr>
          <w:p w14:paraId="173E9095" w14:textId="77777777" w:rsidR="00162987" w:rsidRPr="000D14BE" w:rsidRDefault="00162987" w:rsidP="00162987">
            <w:pPr>
              <w:spacing w:after="0" w:line="240" w:lineRule="auto"/>
              <w:jc w:val="center"/>
              <w:rPr>
                <w:rFonts w:eastAsia="Times New Roman" w:cstheme="minorHAnsi"/>
                <w:b/>
                <w:bCs/>
                <w:color w:val="000000"/>
                <w:lang w:val="en-GB" w:eastAsia="it-IT"/>
              </w:rPr>
            </w:pPr>
            <w:r w:rsidRPr="000D14BE">
              <w:rPr>
                <w:rFonts w:cstheme="minorHAnsi"/>
                <w:b/>
                <w:bCs/>
                <w:color w:val="000000"/>
                <w:lang w:val="en-GB"/>
              </w:rPr>
              <w:t xml:space="preserve">Number  infant deaths </w:t>
            </w:r>
          </w:p>
        </w:tc>
        <w:tc>
          <w:tcPr>
            <w:tcW w:w="1417" w:type="dxa"/>
            <w:tcBorders>
              <w:top w:val="single" w:sz="4" w:space="0" w:color="auto"/>
              <w:bottom w:val="single" w:sz="4" w:space="0" w:color="auto"/>
            </w:tcBorders>
            <w:shd w:val="clear" w:color="auto" w:fill="auto"/>
            <w:noWrap/>
          </w:tcPr>
          <w:p w14:paraId="563D591A" w14:textId="77777777" w:rsidR="00162987" w:rsidRPr="000D14BE" w:rsidRDefault="00162987" w:rsidP="00162987">
            <w:pPr>
              <w:spacing w:after="0" w:line="240" w:lineRule="auto"/>
              <w:jc w:val="center"/>
              <w:rPr>
                <w:rFonts w:eastAsia="Times New Roman" w:cstheme="minorHAnsi"/>
                <w:b/>
                <w:bCs/>
                <w:color w:val="000000"/>
                <w:lang w:val="en-GB" w:eastAsia="it-IT"/>
              </w:rPr>
            </w:pPr>
            <w:r w:rsidRPr="000D14BE">
              <w:rPr>
                <w:rFonts w:cstheme="minorHAnsi"/>
                <w:b/>
                <w:bCs/>
                <w:color w:val="000000"/>
                <w:lang w:val="en-GB"/>
              </w:rPr>
              <w:t>Infant deaths per 10,000 births</w:t>
            </w:r>
          </w:p>
        </w:tc>
        <w:tc>
          <w:tcPr>
            <w:tcW w:w="1508" w:type="dxa"/>
            <w:tcBorders>
              <w:top w:val="single" w:sz="4" w:space="0" w:color="auto"/>
              <w:bottom w:val="single" w:sz="4" w:space="0" w:color="auto"/>
            </w:tcBorders>
            <w:vAlign w:val="bottom"/>
          </w:tcPr>
          <w:p w14:paraId="0A902466" w14:textId="77777777" w:rsidR="00162987" w:rsidRPr="000D14BE" w:rsidRDefault="00162987" w:rsidP="00162987">
            <w:pPr>
              <w:spacing w:after="0" w:line="240" w:lineRule="auto"/>
              <w:jc w:val="center"/>
              <w:rPr>
                <w:rFonts w:eastAsia="Times New Roman" w:cstheme="minorHAnsi"/>
                <w:b/>
                <w:color w:val="000000"/>
                <w:lang w:val="en-GB"/>
              </w:rPr>
            </w:pPr>
            <w:r w:rsidRPr="000D14BE">
              <w:rPr>
                <w:rFonts w:eastAsia="Times New Roman" w:cstheme="minorHAnsi"/>
                <w:b/>
                <w:color w:val="000000"/>
                <w:lang w:val="en-GB"/>
              </w:rPr>
              <w:t>% deaths at 28 days</w:t>
            </w:r>
          </w:p>
          <w:p w14:paraId="56D10A63" w14:textId="77777777" w:rsidR="00162987" w:rsidRPr="000D14BE" w:rsidRDefault="00162987" w:rsidP="00162987">
            <w:pPr>
              <w:spacing w:after="0" w:line="240" w:lineRule="auto"/>
              <w:jc w:val="center"/>
              <w:rPr>
                <w:rFonts w:eastAsia="Times New Roman" w:cstheme="minorHAnsi"/>
                <w:b/>
                <w:bCs/>
                <w:color w:val="000000"/>
                <w:lang w:val="en-GB" w:eastAsia="it-IT"/>
              </w:rPr>
            </w:pPr>
            <w:r w:rsidRPr="000D14BE">
              <w:rPr>
                <w:rFonts w:eastAsia="Times New Roman" w:cstheme="minorHAnsi"/>
                <w:b/>
                <w:color w:val="000000"/>
                <w:lang w:val="en-GB"/>
              </w:rPr>
              <w:t xml:space="preserve"> (of infant deaths)</w:t>
            </w:r>
          </w:p>
        </w:tc>
        <w:tc>
          <w:tcPr>
            <w:tcW w:w="1508" w:type="dxa"/>
            <w:tcBorders>
              <w:top w:val="single" w:sz="4" w:space="0" w:color="auto"/>
              <w:bottom w:val="single" w:sz="4" w:space="0" w:color="auto"/>
            </w:tcBorders>
          </w:tcPr>
          <w:p w14:paraId="2C884DAF" w14:textId="77777777" w:rsidR="00162987" w:rsidRPr="00130C87" w:rsidRDefault="00162987" w:rsidP="00162987">
            <w:pPr>
              <w:spacing w:after="0" w:line="240" w:lineRule="auto"/>
              <w:jc w:val="center"/>
              <w:rPr>
                <w:rFonts w:eastAsia="Times New Roman"/>
                <w:b/>
                <w:color w:val="000000"/>
                <w:lang w:val="en-GB"/>
              </w:rPr>
            </w:pPr>
            <w:r w:rsidRPr="00130C87">
              <w:rPr>
                <w:rFonts w:eastAsia="Times New Roman"/>
                <w:b/>
                <w:color w:val="000000"/>
                <w:lang w:val="en-GB"/>
              </w:rPr>
              <w:t>% deaths at 7 days</w:t>
            </w:r>
          </w:p>
          <w:p w14:paraId="041904A0" w14:textId="77777777" w:rsidR="00162987" w:rsidRPr="00130C87" w:rsidRDefault="00162987" w:rsidP="00162987">
            <w:pPr>
              <w:spacing w:after="0" w:line="240" w:lineRule="auto"/>
              <w:jc w:val="center"/>
              <w:rPr>
                <w:rFonts w:eastAsia="Times New Roman" w:cstheme="minorHAnsi"/>
                <w:b/>
                <w:bCs/>
                <w:color w:val="000000"/>
                <w:lang w:val="en-GB" w:eastAsia="it-IT"/>
              </w:rPr>
            </w:pPr>
            <w:r w:rsidRPr="00130C87">
              <w:rPr>
                <w:rFonts w:eastAsia="Times New Roman"/>
                <w:b/>
                <w:color w:val="000000"/>
                <w:lang w:val="en-GB"/>
              </w:rPr>
              <w:t>(of infant deaths)</w:t>
            </w:r>
          </w:p>
        </w:tc>
      </w:tr>
      <w:tr w:rsidR="00162987" w:rsidRPr="000D14BE" w14:paraId="1B74A82D" w14:textId="77777777" w:rsidTr="00162987">
        <w:trPr>
          <w:trHeight w:val="283"/>
        </w:trPr>
        <w:tc>
          <w:tcPr>
            <w:tcW w:w="3686" w:type="dxa"/>
            <w:tcBorders>
              <w:top w:val="single" w:sz="4" w:space="0" w:color="auto"/>
            </w:tcBorders>
            <w:shd w:val="clear" w:color="auto" w:fill="auto"/>
            <w:noWrap/>
            <w:vAlign w:val="center"/>
            <w:hideMark/>
          </w:tcPr>
          <w:p w14:paraId="14248979" w14:textId="77777777" w:rsidR="00162987" w:rsidRPr="000D14BE" w:rsidRDefault="00162987" w:rsidP="00162987">
            <w:pPr>
              <w:spacing w:after="0" w:line="240" w:lineRule="auto"/>
              <w:rPr>
                <w:rFonts w:eastAsia="Times New Roman" w:cstheme="minorHAnsi"/>
                <w:color w:val="000000"/>
                <w:lang w:eastAsia="it-IT"/>
              </w:rPr>
            </w:pPr>
            <w:proofErr w:type="spellStart"/>
            <w:r w:rsidRPr="000D14BE">
              <w:rPr>
                <w:rFonts w:eastAsia="Times New Roman" w:cstheme="minorHAnsi"/>
                <w:color w:val="000000"/>
                <w:lang w:eastAsia="it-IT"/>
              </w:rPr>
              <w:t>Denmark</w:t>
            </w:r>
            <w:proofErr w:type="spellEnd"/>
            <w:r w:rsidRPr="000D14BE">
              <w:rPr>
                <w:rFonts w:eastAsia="Times New Roman" w:cstheme="minorHAnsi"/>
                <w:color w:val="000000"/>
                <w:lang w:eastAsia="it-IT"/>
              </w:rPr>
              <w:t xml:space="preserve">: </w:t>
            </w:r>
            <w:proofErr w:type="spellStart"/>
            <w:r w:rsidRPr="000D14BE">
              <w:rPr>
                <w:rFonts w:eastAsia="Times New Roman" w:cstheme="minorHAnsi"/>
                <w:color w:val="000000"/>
                <w:lang w:eastAsia="it-IT"/>
              </w:rPr>
              <w:t>Funen</w:t>
            </w:r>
            <w:proofErr w:type="spellEnd"/>
          </w:p>
        </w:tc>
        <w:tc>
          <w:tcPr>
            <w:tcW w:w="1134" w:type="dxa"/>
            <w:tcBorders>
              <w:top w:val="single" w:sz="4" w:space="0" w:color="auto"/>
            </w:tcBorders>
            <w:shd w:val="clear" w:color="auto" w:fill="auto"/>
            <w:noWrap/>
            <w:vAlign w:val="center"/>
          </w:tcPr>
          <w:p w14:paraId="58BAB495" w14:textId="77777777" w:rsidR="00162987" w:rsidRPr="000D14BE" w:rsidRDefault="00162987" w:rsidP="00162987">
            <w:pPr>
              <w:spacing w:after="0" w:line="240" w:lineRule="auto"/>
              <w:jc w:val="center"/>
              <w:rPr>
                <w:rFonts w:eastAsia="Times New Roman" w:cstheme="minorHAnsi"/>
                <w:color w:val="000000"/>
                <w:lang w:eastAsia="it-IT"/>
              </w:rPr>
            </w:pPr>
            <w:r w:rsidRPr="000D14BE">
              <w:rPr>
                <w:rFonts w:eastAsia="Times New Roman" w:cstheme="minorHAnsi"/>
                <w:color w:val="000000"/>
                <w:lang w:eastAsia="it-IT"/>
              </w:rPr>
              <w:t>34</w:t>
            </w:r>
          </w:p>
        </w:tc>
        <w:tc>
          <w:tcPr>
            <w:tcW w:w="1417" w:type="dxa"/>
            <w:tcBorders>
              <w:top w:val="single" w:sz="4" w:space="0" w:color="auto"/>
            </w:tcBorders>
            <w:shd w:val="clear" w:color="auto" w:fill="auto"/>
            <w:noWrap/>
            <w:vAlign w:val="center"/>
          </w:tcPr>
          <w:p w14:paraId="0DAE98DD" w14:textId="77777777" w:rsidR="00162987" w:rsidRPr="000D14BE" w:rsidRDefault="00162987" w:rsidP="00162987">
            <w:pPr>
              <w:spacing w:after="0" w:line="240" w:lineRule="auto"/>
              <w:jc w:val="center"/>
              <w:rPr>
                <w:rFonts w:eastAsia="Times New Roman" w:cstheme="minorHAnsi"/>
                <w:color w:val="000000"/>
                <w:lang w:eastAsia="it-IT"/>
              </w:rPr>
            </w:pPr>
            <w:r w:rsidRPr="000D14BE">
              <w:rPr>
                <w:rFonts w:eastAsia="Times New Roman" w:cstheme="minorHAnsi"/>
                <w:color w:val="000000"/>
                <w:lang w:eastAsia="it-IT"/>
              </w:rPr>
              <w:t>6.8</w:t>
            </w:r>
          </w:p>
        </w:tc>
        <w:tc>
          <w:tcPr>
            <w:tcW w:w="1508" w:type="dxa"/>
            <w:tcBorders>
              <w:top w:val="single" w:sz="4" w:space="0" w:color="auto"/>
            </w:tcBorders>
            <w:vAlign w:val="center"/>
          </w:tcPr>
          <w:p w14:paraId="7E2B1CDD" w14:textId="77777777" w:rsidR="00162987" w:rsidRPr="000D14BE" w:rsidRDefault="00162987" w:rsidP="00162987">
            <w:pPr>
              <w:spacing w:after="0" w:line="240" w:lineRule="auto"/>
              <w:jc w:val="center"/>
              <w:rPr>
                <w:rFonts w:eastAsia="Times New Roman" w:cstheme="minorHAnsi"/>
                <w:color w:val="000000"/>
                <w:lang w:eastAsia="it-IT"/>
              </w:rPr>
            </w:pPr>
            <w:r w:rsidRPr="000D14BE">
              <w:rPr>
                <w:rFonts w:eastAsia="Times New Roman" w:cstheme="minorHAnsi"/>
                <w:color w:val="000000"/>
              </w:rPr>
              <w:t>52.9</w:t>
            </w:r>
          </w:p>
        </w:tc>
        <w:tc>
          <w:tcPr>
            <w:tcW w:w="1508" w:type="dxa"/>
            <w:tcBorders>
              <w:top w:val="single" w:sz="4" w:space="0" w:color="auto"/>
            </w:tcBorders>
            <w:vAlign w:val="center"/>
          </w:tcPr>
          <w:p w14:paraId="56FF4E88" w14:textId="77777777" w:rsidR="00162987" w:rsidRPr="00DA01D4" w:rsidRDefault="00162987" w:rsidP="00162987">
            <w:pPr>
              <w:spacing w:after="0" w:line="240" w:lineRule="auto"/>
              <w:jc w:val="center"/>
              <w:rPr>
                <w:rFonts w:eastAsia="Times New Roman" w:cstheme="minorHAnsi"/>
                <w:color w:val="000000"/>
                <w:lang w:eastAsia="it-IT"/>
              </w:rPr>
            </w:pPr>
            <w:r>
              <w:rPr>
                <w:rFonts w:eastAsia="Times New Roman"/>
                <w:color w:val="000000"/>
              </w:rPr>
              <w:t>41.2</w:t>
            </w:r>
          </w:p>
        </w:tc>
      </w:tr>
      <w:tr w:rsidR="00162987" w:rsidRPr="000D14BE" w14:paraId="58C116A9" w14:textId="77777777" w:rsidTr="00162987">
        <w:trPr>
          <w:trHeight w:val="283"/>
        </w:trPr>
        <w:tc>
          <w:tcPr>
            <w:tcW w:w="3686" w:type="dxa"/>
            <w:shd w:val="clear" w:color="auto" w:fill="auto"/>
            <w:noWrap/>
            <w:vAlign w:val="center"/>
            <w:hideMark/>
          </w:tcPr>
          <w:p w14:paraId="656487FC" w14:textId="77777777" w:rsidR="00162987" w:rsidRPr="000D14BE" w:rsidRDefault="00162987" w:rsidP="00162987">
            <w:pPr>
              <w:spacing w:after="0" w:line="240" w:lineRule="auto"/>
              <w:rPr>
                <w:rFonts w:eastAsia="Times New Roman" w:cstheme="minorHAnsi"/>
                <w:color w:val="000000"/>
                <w:lang w:eastAsia="it-IT"/>
              </w:rPr>
            </w:pPr>
            <w:proofErr w:type="spellStart"/>
            <w:r w:rsidRPr="000D14BE">
              <w:rPr>
                <w:rFonts w:eastAsia="Times New Roman" w:cstheme="minorHAnsi"/>
                <w:color w:val="000000"/>
                <w:lang w:eastAsia="it-IT"/>
              </w:rPr>
              <w:t>Finland</w:t>
            </w:r>
            <w:proofErr w:type="spellEnd"/>
          </w:p>
        </w:tc>
        <w:tc>
          <w:tcPr>
            <w:tcW w:w="1134" w:type="dxa"/>
            <w:shd w:val="clear" w:color="auto" w:fill="auto"/>
            <w:noWrap/>
            <w:vAlign w:val="center"/>
          </w:tcPr>
          <w:p w14:paraId="5CC1ACE1" w14:textId="77777777" w:rsidR="00162987" w:rsidRPr="000D14BE" w:rsidRDefault="00162987" w:rsidP="00162987">
            <w:pPr>
              <w:spacing w:after="0" w:line="240" w:lineRule="auto"/>
              <w:jc w:val="center"/>
              <w:rPr>
                <w:rFonts w:eastAsia="Times New Roman" w:cstheme="minorHAnsi"/>
                <w:color w:val="000000"/>
                <w:lang w:eastAsia="it-IT"/>
              </w:rPr>
            </w:pPr>
            <w:r w:rsidRPr="000D14BE">
              <w:rPr>
                <w:rFonts w:eastAsia="Times New Roman" w:cstheme="minorHAnsi"/>
                <w:color w:val="000000"/>
                <w:lang w:eastAsia="it-IT"/>
              </w:rPr>
              <w:t>593</w:t>
            </w:r>
          </w:p>
        </w:tc>
        <w:tc>
          <w:tcPr>
            <w:tcW w:w="1417" w:type="dxa"/>
            <w:shd w:val="clear" w:color="auto" w:fill="auto"/>
            <w:noWrap/>
            <w:vAlign w:val="center"/>
          </w:tcPr>
          <w:p w14:paraId="0D1227E1" w14:textId="77777777" w:rsidR="00162987" w:rsidRPr="000D14BE" w:rsidRDefault="00162987" w:rsidP="00162987">
            <w:pPr>
              <w:spacing w:after="0" w:line="240" w:lineRule="auto"/>
              <w:jc w:val="center"/>
              <w:rPr>
                <w:rFonts w:eastAsia="Times New Roman" w:cstheme="minorHAnsi"/>
                <w:color w:val="000000"/>
                <w:lang w:eastAsia="it-IT"/>
              </w:rPr>
            </w:pPr>
            <w:r w:rsidRPr="000D14BE">
              <w:rPr>
                <w:rFonts w:eastAsia="Times New Roman" w:cstheme="minorHAnsi"/>
                <w:color w:val="000000"/>
                <w:lang w:eastAsia="it-IT"/>
              </w:rPr>
              <w:t>10.0</w:t>
            </w:r>
          </w:p>
        </w:tc>
        <w:tc>
          <w:tcPr>
            <w:tcW w:w="1508" w:type="dxa"/>
            <w:vAlign w:val="center"/>
          </w:tcPr>
          <w:p w14:paraId="0C90AB0C" w14:textId="77777777" w:rsidR="00162987" w:rsidRPr="000D14BE" w:rsidRDefault="00162987" w:rsidP="00162987">
            <w:pPr>
              <w:spacing w:after="0" w:line="240" w:lineRule="auto"/>
              <w:jc w:val="center"/>
              <w:rPr>
                <w:rFonts w:eastAsia="Times New Roman" w:cstheme="minorHAnsi"/>
                <w:color w:val="000000"/>
                <w:lang w:eastAsia="it-IT"/>
              </w:rPr>
            </w:pPr>
            <w:r w:rsidRPr="000D14BE">
              <w:rPr>
                <w:rFonts w:eastAsia="Times New Roman" w:cstheme="minorHAnsi"/>
                <w:color w:val="000000"/>
              </w:rPr>
              <w:t>70.5</w:t>
            </w:r>
          </w:p>
        </w:tc>
        <w:tc>
          <w:tcPr>
            <w:tcW w:w="1508" w:type="dxa"/>
            <w:vAlign w:val="center"/>
          </w:tcPr>
          <w:p w14:paraId="24FEA9B4" w14:textId="77777777" w:rsidR="00162987" w:rsidRPr="00DA01D4" w:rsidRDefault="00162987" w:rsidP="00162987">
            <w:pPr>
              <w:spacing w:after="0" w:line="240" w:lineRule="auto"/>
              <w:jc w:val="center"/>
              <w:rPr>
                <w:rFonts w:eastAsia="Times New Roman" w:cstheme="minorHAnsi"/>
                <w:color w:val="000000"/>
                <w:lang w:eastAsia="it-IT"/>
              </w:rPr>
            </w:pPr>
            <w:r w:rsidRPr="00DA01D4">
              <w:rPr>
                <w:rFonts w:eastAsia="Times New Roman"/>
                <w:color w:val="000000"/>
              </w:rPr>
              <w:t>57.0</w:t>
            </w:r>
          </w:p>
        </w:tc>
      </w:tr>
      <w:tr w:rsidR="00162987" w:rsidRPr="000D14BE" w14:paraId="69292D3E" w14:textId="77777777" w:rsidTr="00162987">
        <w:trPr>
          <w:trHeight w:val="283"/>
        </w:trPr>
        <w:tc>
          <w:tcPr>
            <w:tcW w:w="3686" w:type="dxa"/>
            <w:shd w:val="clear" w:color="auto" w:fill="auto"/>
            <w:noWrap/>
            <w:vAlign w:val="center"/>
            <w:hideMark/>
          </w:tcPr>
          <w:p w14:paraId="028F3B0C" w14:textId="77777777" w:rsidR="00162987" w:rsidRPr="000D14BE" w:rsidRDefault="00162987" w:rsidP="00162987">
            <w:pPr>
              <w:spacing w:after="0" w:line="240" w:lineRule="auto"/>
              <w:rPr>
                <w:rFonts w:eastAsia="Times New Roman" w:cstheme="minorHAnsi"/>
                <w:color w:val="000000"/>
                <w:lang w:eastAsia="it-IT"/>
              </w:rPr>
            </w:pPr>
            <w:r w:rsidRPr="000D14BE">
              <w:rPr>
                <w:rFonts w:eastAsia="Times New Roman" w:cstheme="minorHAnsi"/>
                <w:color w:val="000000"/>
                <w:lang w:eastAsia="it-IT"/>
              </w:rPr>
              <w:t>France: Paris</w:t>
            </w:r>
          </w:p>
        </w:tc>
        <w:tc>
          <w:tcPr>
            <w:tcW w:w="1134" w:type="dxa"/>
            <w:shd w:val="clear" w:color="auto" w:fill="auto"/>
            <w:noWrap/>
            <w:vAlign w:val="center"/>
          </w:tcPr>
          <w:p w14:paraId="4BD8F32E" w14:textId="77777777" w:rsidR="00162987" w:rsidRPr="000D14BE" w:rsidRDefault="00162987" w:rsidP="00162987">
            <w:pPr>
              <w:spacing w:after="0" w:line="240" w:lineRule="auto"/>
              <w:jc w:val="center"/>
              <w:rPr>
                <w:rFonts w:eastAsia="Times New Roman" w:cstheme="minorHAnsi"/>
                <w:color w:val="000000"/>
                <w:lang w:eastAsia="it-IT"/>
              </w:rPr>
            </w:pPr>
            <w:r w:rsidRPr="000D14BE">
              <w:rPr>
                <w:rFonts w:eastAsia="Times New Roman" w:cstheme="minorHAnsi"/>
                <w:color w:val="000000"/>
                <w:lang w:eastAsia="it-IT"/>
              </w:rPr>
              <w:t>231</w:t>
            </w:r>
          </w:p>
        </w:tc>
        <w:tc>
          <w:tcPr>
            <w:tcW w:w="1417" w:type="dxa"/>
            <w:shd w:val="clear" w:color="auto" w:fill="auto"/>
            <w:noWrap/>
            <w:vAlign w:val="center"/>
          </w:tcPr>
          <w:p w14:paraId="5CF611EA" w14:textId="77777777" w:rsidR="00162987" w:rsidRPr="000D14BE" w:rsidRDefault="00162987" w:rsidP="00162987">
            <w:pPr>
              <w:spacing w:after="0" w:line="240" w:lineRule="auto"/>
              <w:jc w:val="center"/>
              <w:rPr>
                <w:rFonts w:eastAsia="Times New Roman" w:cstheme="minorHAnsi"/>
                <w:color w:val="000000"/>
                <w:lang w:eastAsia="it-IT"/>
              </w:rPr>
            </w:pPr>
            <w:r w:rsidRPr="000D14BE">
              <w:rPr>
                <w:rFonts w:eastAsia="Times New Roman" w:cstheme="minorHAnsi"/>
                <w:color w:val="000000"/>
                <w:lang w:eastAsia="it-IT"/>
              </w:rPr>
              <w:t>8.7</w:t>
            </w:r>
          </w:p>
        </w:tc>
        <w:tc>
          <w:tcPr>
            <w:tcW w:w="1508" w:type="dxa"/>
            <w:vAlign w:val="center"/>
          </w:tcPr>
          <w:p w14:paraId="671A258F" w14:textId="77777777" w:rsidR="00162987" w:rsidRPr="000D14BE" w:rsidRDefault="00162987" w:rsidP="00162987">
            <w:pPr>
              <w:spacing w:after="0" w:line="240" w:lineRule="auto"/>
              <w:jc w:val="center"/>
              <w:rPr>
                <w:rFonts w:eastAsia="Times New Roman" w:cstheme="minorHAnsi"/>
                <w:color w:val="000000"/>
                <w:lang w:eastAsia="it-IT"/>
              </w:rPr>
            </w:pPr>
            <w:r w:rsidRPr="000D14BE">
              <w:rPr>
                <w:rFonts w:eastAsia="Times New Roman" w:cstheme="minorHAnsi"/>
                <w:color w:val="000000"/>
              </w:rPr>
              <w:t>69.3</w:t>
            </w:r>
          </w:p>
        </w:tc>
        <w:tc>
          <w:tcPr>
            <w:tcW w:w="1508" w:type="dxa"/>
            <w:vAlign w:val="center"/>
          </w:tcPr>
          <w:p w14:paraId="711FB9D6" w14:textId="77777777" w:rsidR="00162987" w:rsidRPr="00DA01D4" w:rsidRDefault="00162987" w:rsidP="00162987">
            <w:pPr>
              <w:spacing w:after="0" w:line="240" w:lineRule="auto"/>
              <w:jc w:val="center"/>
              <w:rPr>
                <w:rFonts w:eastAsia="Times New Roman" w:cstheme="minorHAnsi"/>
                <w:color w:val="000000"/>
                <w:lang w:eastAsia="it-IT"/>
              </w:rPr>
            </w:pPr>
            <w:r w:rsidRPr="00DA01D4">
              <w:rPr>
                <w:rFonts w:eastAsia="Times New Roman"/>
                <w:color w:val="000000"/>
              </w:rPr>
              <w:t>48.5</w:t>
            </w:r>
          </w:p>
        </w:tc>
      </w:tr>
      <w:tr w:rsidR="00162987" w:rsidRPr="000D14BE" w14:paraId="4C04C14E" w14:textId="77777777" w:rsidTr="00162987">
        <w:trPr>
          <w:trHeight w:val="283"/>
        </w:trPr>
        <w:tc>
          <w:tcPr>
            <w:tcW w:w="3686" w:type="dxa"/>
            <w:shd w:val="clear" w:color="auto" w:fill="auto"/>
            <w:noWrap/>
            <w:vAlign w:val="center"/>
            <w:hideMark/>
          </w:tcPr>
          <w:p w14:paraId="6BB98FF1" w14:textId="77777777" w:rsidR="00162987" w:rsidRPr="000D14BE" w:rsidRDefault="00162987" w:rsidP="00162987">
            <w:pPr>
              <w:spacing w:after="0" w:line="240" w:lineRule="auto"/>
              <w:rPr>
                <w:rFonts w:eastAsia="Times New Roman" w:cstheme="minorHAnsi"/>
                <w:color w:val="000000"/>
                <w:lang w:eastAsia="it-IT"/>
              </w:rPr>
            </w:pPr>
            <w:r w:rsidRPr="000D14BE">
              <w:rPr>
                <w:rFonts w:eastAsia="Times New Roman" w:cstheme="minorHAnsi"/>
                <w:color w:val="000000"/>
                <w:lang w:eastAsia="it-IT"/>
              </w:rPr>
              <w:t xml:space="preserve">Germany: </w:t>
            </w:r>
            <w:proofErr w:type="spellStart"/>
            <w:r w:rsidRPr="000D14BE">
              <w:rPr>
                <w:rFonts w:eastAsia="Times New Roman" w:cstheme="minorHAnsi"/>
                <w:color w:val="000000"/>
                <w:lang w:eastAsia="it-IT"/>
              </w:rPr>
              <w:t>Saxony-Anhalt</w:t>
            </w:r>
            <w:proofErr w:type="spellEnd"/>
          </w:p>
        </w:tc>
        <w:tc>
          <w:tcPr>
            <w:tcW w:w="1134" w:type="dxa"/>
            <w:shd w:val="clear" w:color="auto" w:fill="auto"/>
            <w:noWrap/>
            <w:vAlign w:val="center"/>
          </w:tcPr>
          <w:p w14:paraId="48D40A62" w14:textId="77777777" w:rsidR="00162987" w:rsidRPr="000D14BE" w:rsidRDefault="00162987" w:rsidP="00162987">
            <w:pPr>
              <w:spacing w:after="0" w:line="240" w:lineRule="auto"/>
              <w:jc w:val="center"/>
              <w:rPr>
                <w:rFonts w:eastAsia="Times New Roman" w:cstheme="minorHAnsi"/>
                <w:color w:val="000000"/>
                <w:lang w:eastAsia="it-IT"/>
              </w:rPr>
            </w:pPr>
            <w:r w:rsidRPr="000D14BE">
              <w:rPr>
                <w:rFonts w:eastAsia="Times New Roman" w:cstheme="minorHAnsi"/>
                <w:color w:val="000000"/>
                <w:lang w:eastAsia="it-IT"/>
              </w:rPr>
              <w:t>100</w:t>
            </w:r>
          </w:p>
        </w:tc>
        <w:tc>
          <w:tcPr>
            <w:tcW w:w="1417" w:type="dxa"/>
            <w:shd w:val="clear" w:color="auto" w:fill="auto"/>
            <w:noWrap/>
            <w:vAlign w:val="center"/>
          </w:tcPr>
          <w:p w14:paraId="099F38EE" w14:textId="77777777" w:rsidR="00162987" w:rsidRPr="000D14BE" w:rsidRDefault="00162987" w:rsidP="00162987">
            <w:pPr>
              <w:spacing w:after="0" w:line="240" w:lineRule="auto"/>
              <w:jc w:val="center"/>
              <w:rPr>
                <w:rFonts w:eastAsia="Times New Roman" w:cstheme="minorHAnsi"/>
                <w:color w:val="000000"/>
                <w:lang w:eastAsia="it-IT"/>
              </w:rPr>
            </w:pPr>
            <w:r w:rsidRPr="000D14BE">
              <w:rPr>
                <w:rFonts w:eastAsia="Times New Roman" w:cstheme="minorHAnsi"/>
                <w:color w:val="000000"/>
                <w:lang w:eastAsia="it-IT"/>
              </w:rPr>
              <w:t>5.8</w:t>
            </w:r>
          </w:p>
        </w:tc>
        <w:tc>
          <w:tcPr>
            <w:tcW w:w="1508" w:type="dxa"/>
            <w:vAlign w:val="center"/>
          </w:tcPr>
          <w:p w14:paraId="3C57C872" w14:textId="77777777" w:rsidR="00162987" w:rsidRPr="000D14BE" w:rsidRDefault="00162987" w:rsidP="00162987">
            <w:pPr>
              <w:spacing w:after="0" w:line="240" w:lineRule="auto"/>
              <w:jc w:val="center"/>
              <w:rPr>
                <w:rFonts w:eastAsia="Times New Roman" w:cstheme="minorHAnsi"/>
                <w:color w:val="000000"/>
                <w:lang w:eastAsia="it-IT"/>
              </w:rPr>
            </w:pPr>
            <w:r w:rsidRPr="000D14BE">
              <w:rPr>
                <w:rFonts w:eastAsia="Times New Roman" w:cstheme="minorHAnsi"/>
                <w:color w:val="000000"/>
              </w:rPr>
              <w:t>60.0</w:t>
            </w:r>
          </w:p>
        </w:tc>
        <w:tc>
          <w:tcPr>
            <w:tcW w:w="1508" w:type="dxa"/>
            <w:vAlign w:val="center"/>
          </w:tcPr>
          <w:p w14:paraId="0EB189EB" w14:textId="77777777" w:rsidR="00162987" w:rsidRPr="00DA01D4" w:rsidRDefault="00162987" w:rsidP="00162987">
            <w:pPr>
              <w:spacing w:after="0" w:line="240" w:lineRule="auto"/>
              <w:jc w:val="center"/>
              <w:rPr>
                <w:rFonts w:eastAsia="Times New Roman" w:cstheme="minorHAnsi"/>
                <w:color w:val="000000"/>
                <w:lang w:eastAsia="it-IT"/>
              </w:rPr>
            </w:pPr>
            <w:r w:rsidRPr="00DA01D4">
              <w:rPr>
                <w:rFonts w:eastAsia="Times New Roman"/>
                <w:color w:val="000000"/>
              </w:rPr>
              <w:t>51.0</w:t>
            </w:r>
          </w:p>
        </w:tc>
      </w:tr>
      <w:tr w:rsidR="00162987" w:rsidRPr="000D14BE" w14:paraId="3B6108D5" w14:textId="77777777" w:rsidTr="00162987">
        <w:trPr>
          <w:trHeight w:val="283"/>
        </w:trPr>
        <w:tc>
          <w:tcPr>
            <w:tcW w:w="3686" w:type="dxa"/>
            <w:shd w:val="clear" w:color="auto" w:fill="auto"/>
            <w:noWrap/>
            <w:vAlign w:val="center"/>
            <w:hideMark/>
          </w:tcPr>
          <w:p w14:paraId="6D78AB5E" w14:textId="77777777" w:rsidR="00162987" w:rsidRPr="000D14BE" w:rsidRDefault="00162987" w:rsidP="00162987">
            <w:pPr>
              <w:spacing w:after="0" w:line="240" w:lineRule="auto"/>
              <w:rPr>
                <w:rFonts w:eastAsia="Times New Roman" w:cstheme="minorHAnsi"/>
                <w:color w:val="000000"/>
                <w:lang w:eastAsia="it-IT"/>
              </w:rPr>
            </w:pPr>
            <w:proofErr w:type="spellStart"/>
            <w:r w:rsidRPr="000D14BE">
              <w:rPr>
                <w:rFonts w:eastAsia="Times New Roman" w:cstheme="minorHAnsi"/>
                <w:color w:val="000000"/>
                <w:lang w:eastAsia="it-IT"/>
              </w:rPr>
              <w:t>Italy</w:t>
            </w:r>
            <w:proofErr w:type="spellEnd"/>
            <w:r w:rsidRPr="000D14BE">
              <w:rPr>
                <w:rFonts w:eastAsia="Times New Roman" w:cstheme="minorHAnsi"/>
                <w:color w:val="000000"/>
                <w:lang w:eastAsia="it-IT"/>
              </w:rPr>
              <w:t>: Emilia Romagna</w:t>
            </w:r>
          </w:p>
        </w:tc>
        <w:tc>
          <w:tcPr>
            <w:tcW w:w="1134" w:type="dxa"/>
            <w:shd w:val="clear" w:color="auto" w:fill="auto"/>
            <w:noWrap/>
            <w:vAlign w:val="center"/>
          </w:tcPr>
          <w:p w14:paraId="495333C7" w14:textId="77777777" w:rsidR="00162987" w:rsidRPr="000D14BE" w:rsidRDefault="00162987" w:rsidP="00162987">
            <w:pPr>
              <w:spacing w:after="0" w:line="240" w:lineRule="auto"/>
              <w:jc w:val="center"/>
              <w:rPr>
                <w:rFonts w:eastAsia="Times New Roman" w:cstheme="minorHAnsi"/>
                <w:color w:val="000000"/>
                <w:lang w:eastAsia="it-IT"/>
              </w:rPr>
            </w:pPr>
            <w:r w:rsidRPr="000D14BE">
              <w:rPr>
                <w:rFonts w:eastAsia="Times New Roman" w:cstheme="minorHAnsi"/>
                <w:color w:val="000000"/>
                <w:lang w:eastAsia="it-IT"/>
              </w:rPr>
              <w:t>185</w:t>
            </w:r>
          </w:p>
        </w:tc>
        <w:tc>
          <w:tcPr>
            <w:tcW w:w="1417" w:type="dxa"/>
            <w:shd w:val="clear" w:color="auto" w:fill="auto"/>
            <w:noWrap/>
            <w:vAlign w:val="center"/>
          </w:tcPr>
          <w:p w14:paraId="17F6323C" w14:textId="77777777" w:rsidR="00162987" w:rsidRPr="000D14BE" w:rsidRDefault="00162987" w:rsidP="00162987">
            <w:pPr>
              <w:spacing w:after="0" w:line="240" w:lineRule="auto"/>
              <w:jc w:val="center"/>
              <w:rPr>
                <w:rFonts w:eastAsia="Times New Roman" w:cstheme="minorHAnsi"/>
                <w:color w:val="000000"/>
                <w:lang w:eastAsia="it-IT"/>
              </w:rPr>
            </w:pPr>
            <w:r w:rsidRPr="000D14BE">
              <w:rPr>
                <w:rFonts w:eastAsia="Times New Roman" w:cstheme="minorHAnsi"/>
                <w:color w:val="000000"/>
                <w:lang w:eastAsia="it-IT"/>
              </w:rPr>
              <w:t>6.6</w:t>
            </w:r>
          </w:p>
        </w:tc>
        <w:tc>
          <w:tcPr>
            <w:tcW w:w="1508" w:type="dxa"/>
            <w:vAlign w:val="center"/>
          </w:tcPr>
          <w:p w14:paraId="5AF1F293" w14:textId="77777777" w:rsidR="00162987" w:rsidRPr="000D14BE" w:rsidRDefault="00162987" w:rsidP="00162987">
            <w:pPr>
              <w:spacing w:after="0" w:line="240" w:lineRule="auto"/>
              <w:jc w:val="center"/>
              <w:rPr>
                <w:rFonts w:eastAsia="Times New Roman" w:cstheme="minorHAnsi"/>
                <w:color w:val="000000"/>
                <w:lang w:eastAsia="it-IT"/>
              </w:rPr>
            </w:pPr>
            <w:r w:rsidRPr="000D14BE">
              <w:rPr>
                <w:rFonts w:eastAsia="Times New Roman" w:cstheme="minorHAnsi"/>
                <w:color w:val="000000"/>
              </w:rPr>
              <w:t>57.3</w:t>
            </w:r>
          </w:p>
        </w:tc>
        <w:tc>
          <w:tcPr>
            <w:tcW w:w="1508" w:type="dxa"/>
            <w:vAlign w:val="center"/>
          </w:tcPr>
          <w:p w14:paraId="0EF3D5E2" w14:textId="77777777" w:rsidR="00162987" w:rsidRPr="00DA01D4" w:rsidRDefault="00162987" w:rsidP="00162987">
            <w:pPr>
              <w:spacing w:after="0" w:line="240" w:lineRule="auto"/>
              <w:jc w:val="center"/>
              <w:rPr>
                <w:rFonts w:eastAsia="Times New Roman" w:cstheme="minorHAnsi"/>
                <w:color w:val="000000"/>
                <w:lang w:eastAsia="it-IT"/>
              </w:rPr>
            </w:pPr>
            <w:r w:rsidRPr="00DA01D4">
              <w:rPr>
                <w:rFonts w:eastAsia="Times New Roman"/>
                <w:color w:val="000000"/>
              </w:rPr>
              <w:t>36.8</w:t>
            </w:r>
          </w:p>
        </w:tc>
      </w:tr>
      <w:tr w:rsidR="00162987" w:rsidRPr="000D14BE" w14:paraId="7F59E692" w14:textId="77777777" w:rsidTr="00162987">
        <w:trPr>
          <w:trHeight w:val="283"/>
        </w:trPr>
        <w:tc>
          <w:tcPr>
            <w:tcW w:w="3686" w:type="dxa"/>
            <w:shd w:val="clear" w:color="auto" w:fill="auto"/>
            <w:noWrap/>
            <w:vAlign w:val="center"/>
            <w:hideMark/>
          </w:tcPr>
          <w:p w14:paraId="149CA308" w14:textId="77777777" w:rsidR="00162987" w:rsidRPr="000D14BE" w:rsidRDefault="00162987" w:rsidP="00162987">
            <w:pPr>
              <w:spacing w:after="0" w:line="240" w:lineRule="auto"/>
              <w:rPr>
                <w:rFonts w:eastAsia="Times New Roman" w:cstheme="minorHAnsi"/>
                <w:color w:val="000000"/>
                <w:lang w:eastAsia="it-IT"/>
              </w:rPr>
            </w:pPr>
            <w:proofErr w:type="spellStart"/>
            <w:r w:rsidRPr="000D14BE">
              <w:rPr>
                <w:rFonts w:eastAsia="Times New Roman" w:cstheme="minorHAnsi"/>
                <w:color w:val="000000"/>
                <w:lang w:eastAsia="it-IT"/>
              </w:rPr>
              <w:t>Italy</w:t>
            </w:r>
            <w:proofErr w:type="spellEnd"/>
            <w:r w:rsidRPr="000D14BE">
              <w:rPr>
                <w:rFonts w:eastAsia="Times New Roman" w:cstheme="minorHAnsi"/>
                <w:color w:val="000000"/>
                <w:lang w:eastAsia="it-IT"/>
              </w:rPr>
              <w:t xml:space="preserve">: </w:t>
            </w:r>
            <w:proofErr w:type="spellStart"/>
            <w:r w:rsidRPr="000D14BE">
              <w:rPr>
                <w:rFonts w:eastAsia="Times New Roman" w:cstheme="minorHAnsi"/>
                <w:color w:val="000000"/>
                <w:lang w:eastAsia="it-IT"/>
              </w:rPr>
              <w:t>Tuscany</w:t>
            </w:r>
            <w:proofErr w:type="spellEnd"/>
          </w:p>
        </w:tc>
        <w:tc>
          <w:tcPr>
            <w:tcW w:w="1134" w:type="dxa"/>
            <w:shd w:val="clear" w:color="auto" w:fill="auto"/>
            <w:noWrap/>
            <w:vAlign w:val="center"/>
          </w:tcPr>
          <w:p w14:paraId="5827209A" w14:textId="77777777" w:rsidR="00162987" w:rsidRPr="000D14BE" w:rsidRDefault="00162987" w:rsidP="00162987">
            <w:pPr>
              <w:spacing w:after="0" w:line="240" w:lineRule="auto"/>
              <w:jc w:val="center"/>
              <w:rPr>
                <w:rFonts w:eastAsia="Times New Roman" w:cstheme="minorHAnsi"/>
                <w:color w:val="000000"/>
                <w:lang w:eastAsia="it-IT"/>
              </w:rPr>
            </w:pPr>
            <w:r w:rsidRPr="000D14BE">
              <w:rPr>
                <w:rFonts w:eastAsia="Times New Roman" w:cstheme="minorHAnsi"/>
                <w:color w:val="000000"/>
                <w:lang w:eastAsia="it-IT"/>
              </w:rPr>
              <w:t>124</w:t>
            </w:r>
          </w:p>
        </w:tc>
        <w:tc>
          <w:tcPr>
            <w:tcW w:w="1417" w:type="dxa"/>
            <w:shd w:val="clear" w:color="auto" w:fill="auto"/>
            <w:noWrap/>
            <w:vAlign w:val="center"/>
          </w:tcPr>
          <w:p w14:paraId="701AA4B6" w14:textId="77777777" w:rsidR="00162987" w:rsidRPr="000D14BE" w:rsidRDefault="00162987" w:rsidP="00162987">
            <w:pPr>
              <w:spacing w:after="0" w:line="240" w:lineRule="auto"/>
              <w:jc w:val="center"/>
              <w:rPr>
                <w:rFonts w:eastAsia="Times New Roman" w:cstheme="minorHAnsi"/>
                <w:color w:val="000000"/>
                <w:lang w:eastAsia="it-IT"/>
              </w:rPr>
            </w:pPr>
            <w:r w:rsidRPr="000D14BE">
              <w:rPr>
                <w:rFonts w:eastAsia="Times New Roman" w:cstheme="minorHAnsi"/>
                <w:color w:val="000000"/>
                <w:lang w:eastAsia="it-IT"/>
              </w:rPr>
              <w:t>4.1</w:t>
            </w:r>
          </w:p>
        </w:tc>
        <w:tc>
          <w:tcPr>
            <w:tcW w:w="1508" w:type="dxa"/>
            <w:vAlign w:val="center"/>
          </w:tcPr>
          <w:p w14:paraId="492DC21E" w14:textId="77777777" w:rsidR="00162987" w:rsidRPr="000D14BE" w:rsidRDefault="00162987" w:rsidP="00162987">
            <w:pPr>
              <w:spacing w:after="0" w:line="240" w:lineRule="auto"/>
              <w:jc w:val="center"/>
              <w:rPr>
                <w:rFonts w:eastAsia="Times New Roman" w:cstheme="minorHAnsi"/>
                <w:color w:val="000000"/>
                <w:lang w:eastAsia="it-IT"/>
              </w:rPr>
            </w:pPr>
            <w:r w:rsidRPr="000D14BE">
              <w:rPr>
                <w:rFonts w:eastAsia="Times New Roman" w:cstheme="minorHAnsi"/>
                <w:color w:val="000000"/>
              </w:rPr>
              <w:t>57.3</w:t>
            </w:r>
          </w:p>
        </w:tc>
        <w:tc>
          <w:tcPr>
            <w:tcW w:w="1508" w:type="dxa"/>
            <w:vAlign w:val="center"/>
          </w:tcPr>
          <w:p w14:paraId="7B7CD73B" w14:textId="77777777" w:rsidR="00162987" w:rsidRPr="00DA01D4" w:rsidRDefault="00162987" w:rsidP="00162987">
            <w:pPr>
              <w:spacing w:after="0" w:line="240" w:lineRule="auto"/>
              <w:jc w:val="center"/>
              <w:rPr>
                <w:rFonts w:eastAsia="Times New Roman" w:cstheme="minorHAnsi"/>
                <w:color w:val="000000"/>
                <w:lang w:eastAsia="it-IT"/>
              </w:rPr>
            </w:pPr>
            <w:r w:rsidRPr="00DA01D4">
              <w:rPr>
                <w:rFonts w:eastAsia="Times New Roman"/>
                <w:color w:val="000000"/>
              </w:rPr>
              <w:t>38.7</w:t>
            </w:r>
          </w:p>
        </w:tc>
      </w:tr>
      <w:tr w:rsidR="00162987" w:rsidRPr="000D14BE" w14:paraId="52CFC579" w14:textId="77777777" w:rsidTr="00162987">
        <w:trPr>
          <w:trHeight w:val="283"/>
        </w:trPr>
        <w:tc>
          <w:tcPr>
            <w:tcW w:w="3686" w:type="dxa"/>
            <w:shd w:val="clear" w:color="auto" w:fill="auto"/>
            <w:noWrap/>
            <w:vAlign w:val="center"/>
            <w:hideMark/>
          </w:tcPr>
          <w:p w14:paraId="36EF5DDC" w14:textId="77777777" w:rsidR="00162987" w:rsidRPr="000D14BE" w:rsidRDefault="00162987" w:rsidP="00162987">
            <w:pPr>
              <w:spacing w:after="0" w:line="240" w:lineRule="auto"/>
              <w:rPr>
                <w:rFonts w:eastAsia="Times New Roman" w:cstheme="minorHAnsi"/>
                <w:color w:val="000000"/>
                <w:lang w:eastAsia="it-IT"/>
              </w:rPr>
            </w:pPr>
            <w:r w:rsidRPr="000D14BE">
              <w:rPr>
                <w:rFonts w:eastAsia="Times New Roman" w:cstheme="minorHAnsi"/>
                <w:color w:val="000000"/>
                <w:lang w:eastAsia="it-IT"/>
              </w:rPr>
              <w:t>Malta*</w:t>
            </w:r>
          </w:p>
        </w:tc>
        <w:tc>
          <w:tcPr>
            <w:tcW w:w="1134" w:type="dxa"/>
            <w:shd w:val="clear" w:color="auto" w:fill="auto"/>
            <w:noWrap/>
            <w:vAlign w:val="center"/>
          </w:tcPr>
          <w:p w14:paraId="17F08D47" w14:textId="77777777" w:rsidR="00162987" w:rsidRPr="000D14BE" w:rsidRDefault="00162987" w:rsidP="00162987">
            <w:pPr>
              <w:spacing w:after="0" w:line="240" w:lineRule="auto"/>
              <w:jc w:val="center"/>
              <w:rPr>
                <w:rFonts w:eastAsia="Times New Roman" w:cstheme="minorHAnsi"/>
                <w:color w:val="000000"/>
                <w:lang w:eastAsia="it-IT"/>
              </w:rPr>
            </w:pPr>
            <w:r w:rsidRPr="000D14BE">
              <w:rPr>
                <w:rFonts w:eastAsia="Times New Roman" w:cstheme="minorHAnsi"/>
                <w:color w:val="000000"/>
                <w:lang w:eastAsia="it-IT"/>
              </w:rPr>
              <w:t>105</w:t>
            </w:r>
          </w:p>
        </w:tc>
        <w:tc>
          <w:tcPr>
            <w:tcW w:w="1417" w:type="dxa"/>
            <w:shd w:val="clear" w:color="auto" w:fill="auto"/>
            <w:noWrap/>
            <w:vAlign w:val="center"/>
          </w:tcPr>
          <w:p w14:paraId="026893CB" w14:textId="77777777" w:rsidR="00162987" w:rsidRPr="000D14BE" w:rsidRDefault="00162987" w:rsidP="00162987">
            <w:pPr>
              <w:spacing w:after="0" w:line="240" w:lineRule="auto"/>
              <w:jc w:val="center"/>
              <w:rPr>
                <w:rFonts w:eastAsia="Times New Roman" w:cstheme="minorHAnsi"/>
                <w:color w:val="000000"/>
                <w:lang w:eastAsia="it-IT"/>
              </w:rPr>
            </w:pPr>
            <w:r w:rsidRPr="000D14BE">
              <w:rPr>
                <w:rFonts w:eastAsia="Times New Roman" w:cstheme="minorHAnsi"/>
                <w:color w:val="000000"/>
                <w:lang w:eastAsia="it-IT"/>
              </w:rPr>
              <w:t>25.5</w:t>
            </w:r>
          </w:p>
        </w:tc>
        <w:tc>
          <w:tcPr>
            <w:tcW w:w="1508" w:type="dxa"/>
            <w:vAlign w:val="center"/>
          </w:tcPr>
          <w:p w14:paraId="00FA92AA" w14:textId="77777777" w:rsidR="00162987" w:rsidRPr="000D14BE" w:rsidRDefault="00162987" w:rsidP="00162987">
            <w:pPr>
              <w:spacing w:after="0" w:line="240" w:lineRule="auto"/>
              <w:jc w:val="center"/>
              <w:rPr>
                <w:rFonts w:eastAsia="Times New Roman" w:cstheme="minorHAnsi"/>
                <w:color w:val="000000"/>
                <w:lang w:eastAsia="it-IT"/>
              </w:rPr>
            </w:pPr>
            <w:r w:rsidRPr="000D14BE">
              <w:rPr>
                <w:rFonts w:eastAsia="Times New Roman" w:cstheme="minorHAnsi"/>
                <w:color w:val="000000"/>
              </w:rPr>
              <w:t>73.3</w:t>
            </w:r>
          </w:p>
        </w:tc>
        <w:tc>
          <w:tcPr>
            <w:tcW w:w="1508" w:type="dxa"/>
            <w:vAlign w:val="center"/>
          </w:tcPr>
          <w:p w14:paraId="27D934EA" w14:textId="77777777" w:rsidR="00162987" w:rsidRPr="00DA01D4" w:rsidRDefault="00162987" w:rsidP="00162987">
            <w:pPr>
              <w:spacing w:after="0" w:line="240" w:lineRule="auto"/>
              <w:jc w:val="center"/>
              <w:rPr>
                <w:rFonts w:eastAsia="Times New Roman" w:cstheme="minorHAnsi"/>
                <w:color w:val="000000"/>
                <w:lang w:eastAsia="it-IT"/>
              </w:rPr>
            </w:pPr>
            <w:r w:rsidRPr="00DA01D4">
              <w:rPr>
                <w:rFonts w:eastAsia="Times New Roman"/>
                <w:color w:val="000000"/>
              </w:rPr>
              <w:t>54.3</w:t>
            </w:r>
          </w:p>
        </w:tc>
      </w:tr>
      <w:tr w:rsidR="00162987" w:rsidRPr="000D14BE" w14:paraId="402A1FA5" w14:textId="77777777" w:rsidTr="00162987">
        <w:trPr>
          <w:trHeight w:val="283"/>
        </w:trPr>
        <w:tc>
          <w:tcPr>
            <w:tcW w:w="3686" w:type="dxa"/>
            <w:shd w:val="clear" w:color="auto" w:fill="auto"/>
            <w:noWrap/>
            <w:vAlign w:val="center"/>
            <w:hideMark/>
          </w:tcPr>
          <w:p w14:paraId="07D7A32A" w14:textId="77777777" w:rsidR="00162987" w:rsidRPr="000D14BE" w:rsidRDefault="00162987" w:rsidP="00162987">
            <w:pPr>
              <w:spacing w:after="0" w:line="240" w:lineRule="auto"/>
              <w:rPr>
                <w:rFonts w:eastAsia="Times New Roman" w:cstheme="minorHAnsi"/>
                <w:color w:val="000000"/>
                <w:lang w:eastAsia="it-IT"/>
              </w:rPr>
            </w:pPr>
            <w:r w:rsidRPr="000D14BE">
              <w:rPr>
                <w:rFonts w:eastAsia="Times New Roman" w:cstheme="minorHAnsi"/>
                <w:color w:val="000000"/>
                <w:lang w:eastAsia="it-IT"/>
              </w:rPr>
              <w:t xml:space="preserve">Netherlands: </w:t>
            </w:r>
            <w:proofErr w:type="spellStart"/>
            <w:r w:rsidRPr="000D14BE">
              <w:rPr>
                <w:rFonts w:eastAsia="Times New Roman" w:cstheme="minorHAnsi"/>
                <w:color w:val="000000"/>
                <w:lang w:eastAsia="it-IT"/>
              </w:rPr>
              <w:t>Northern</w:t>
            </w:r>
            <w:proofErr w:type="spellEnd"/>
            <w:r w:rsidRPr="000D14BE">
              <w:rPr>
                <w:rFonts w:eastAsia="Times New Roman" w:cstheme="minorHAnsi"/>
                <w:color w:val="000000"/>
                <w:lang w:eastAsia="it-IT"/>
              </w:rPr>
              <w:t>°</w:t>
            </w:r>
          </w:p>
        </w:tc>
        <w:tc>
          <w:tcPr>
            <w:tcW w:w="1134" w:type="dxa"/>
            <w:shd w:val="clear" w:color="auto" w:fill="auto"/>
            <w:noWrap/>
            <w:vAlign w:val="center"/>
          </w:tcPr>
          <w:p w14:paraId="769B4923" w14:textId="77777777" w:rsidR="00162987" w:rsidRPr="000D14BE" w:rsidRDefault="00162987" w:rsidP="00162987">
            <w:pPr>
              <w:spacing w:after="0" w:line="240" w:lineRule="auto"/>
              <w:jc w:val="center"/>
              <w:rPr>
                <w:rFonts w:eastAsia="Times New Roman" w:cstheme="minorHAnsi"/>
                <w:color w:val="000000"/>
                <w:lang w:eastAsia="it-IT"/>
              </w:rPr>
            </w:pPr>
            <w:r w:rsidRPr="000D14BE">
              <w:rPr>
                <w:rFonts w:eastAsia="Times New Roman" w:cstheme="minorHAnsi"/>
                <w:color w:val="000000"/>
                <w:lang w:eastAsia="it-IT"/>
              </w:rPr>
              <w:t>170</w:t>
            </w:r>
          </w:p>
        </w:tc>
        <w:tc>
          <w:tcPr>
            <w:tcW w:w="1417" w:type="dxa"/>
            <w:shd w:val="clear" w:color="auto" w:fill="auto"/>
            <w:noWrap/>
            <w:vAlign w:val="center"/>
          </w:tcPr>
          <w:p w14:paraId="3E51BD79" w14:textId="77777777" w:rsidR="00162987" w:rsidRPr="000D14BE" w:rsidRDefault="00162987" w:rsidP="00162987">
            <w:pPr>
              <w:spacing w:after="0" w:line="240" w:lineRule="auto"/>
              <w:jc w:val="center"/>
              <w:rPr>
                <w:rFonts w:eastAsia="Times New Roman" w:cstheme="minorHAnsi"/>
                <w:color w:val="000000"/>
                <w:lang w:eastAsia="it-IT"/>
              </w:rPr>
            </w:pPr>
            <w:r w:rsidRPr="000D14BE">
              <w:rPr>
                <w:rFonts w:eastAsia="Times New Roman" w:cstheme="minorHAnsi"/>
                <w:color w:val="000000"/>
                <w:lang w:eastAsia="it-IT"/>
              </w:rPr>
              <w:t>9.8</w:t>
            </w:r>
          </w:p>
        </w:tc>
        <w:tc>
          <w:tcPr>
            <w:tcW w:w="1508" w:type="dxa"/>
            <w:vAlign w:val="center"/>
          </w:tcPr>
          <w:p w14:paraId="60DEAB3D" w14:textId="77777777" w:rsidR="00162987" w:rsidRPr="000D14BE" w:rsidRDefault="00162987" w:rsidP="00162987">
            <w:pPr>
              <w:spacing w:after="0" w:line="240" w:lineRule="auto"/>
              <w:jc w:val="center"/>
              <w:rPr>
                <w:rFonts w:eastAsia="Times New Roman" w:cstheme="minorHAnsi"/>
                <w:color w:val="000000"/>
                <w:lang w:eastAsia="it-IT"/>
              </w:rPr>
            </w:pPr>
            <w:r w:rsidRPr="000D14BE">
              <w:rPr>
                <w:rFonts w:eastAsia="Times New Roman" w:cstheme="minorHAnsi"/>
                <w:color w:val="000000"/>
              </w:rPr>
              <w:t>70.6</w:t>
            </w:r>
          </w:p>
        </w:tc>
        <w:tc>
          <w:tcPr>
            <w:tcW w:w="1508" w:type="dxa"/>
            <w:vAlign w:val="center"/>
          </w:tcPr>
          <w:p w14:paraId="595C2CA8" w14:textId="77777777" w:rsidR="00162987" w:rsidRPr="00DA01D4" w:rsidRDefault="00162987" w:rsidP="00162987">
            <w:pPr>
              <w:spacing w:after="0" w:line="240" w:lineRule="auto"/>
              <w:jc w:val="center"/>
              <w:rPr>
                <w:rFonts w:eastAsia="Times New Roman" w:cstheme="minorHAnsi"/>
                <w:color w:val="000000"/>
                <w:lang w:eastAsia="it-IT"/>
              </w:rPr>
            </w:pPr>
            <w:r w:rsidRPr="00DA01D4">
              <w:rPr>
                <w:rFonts w:eastAsia="Times New Roman"/>
                <w:color w:val="000000"/>
              </w:rPr>
              <w:t>38.2</w:t>
            </w:r>
          </w:p>
        </w:tc>
      </w:tr>
      <w:tr w:rsidR="00162987" w:rsidRPr="000D14BE" w14:paraId="633DBB55" w14:textId="77777777" w:rsidTr="00162987">
        <w:trPr>
          <w:trHeight w:val="283"/>
        </w:trPr>
        <w:tc>
          <w:tcPr>
            <w:tcW w:w="3686" w:type="dxa"/>
            <w:shd w:val="clear" w:color="auto" w:fill="auto"/>
            <w:noWrap/>
            <w:vAlign w:val="center"/>
            <w:hideMark/>
          </w:tcPr>
          <w:p w14:paraId="2B0CC506" w14:textId="77777777" w:rsidR="00162987" w:rsidRPr="000D14BE" w:rsidRDefault="00162987" w:rsidP="00162987">
            <w:pPr>
              <w:spacing w:after="0" w:line="240" w:lineRule="auto"/>
              <w:rPr>
                <w:rFonts w:eastAsia="Times New Roman" w:cstheme="minorHAnsi"/>
                <w:color w:val="000000"/>
                <w:lang w:eastAsia="it-IT"/>
              </w:rPr>
            </w:pPr>
            <w:proofErr w:type="spellStart"/>
            <w:r w:rsidRPr="000D14BE">
              <w:rPr>
                <w:rFonts w:eastAsia="Times New Roman" w:cstheme="minorHAnsi"/>
                <w:color w:val="000000"/>
                <w:lang w:eastAsia="it-IT"/>
              </w:rPr>
              <w:t>Norway</w:t>
            </w:r>
            <w:proofErr w:type="spellEnd"/>
          </w:p>
        </w:tc>
        <w:tc>
          <w:tcPr>
            <w:tcW w:w="1134" w:type="dxa"/>
            <w:shd w:val="clear" w:color="auto" w:fill="auto"/>
            <w:noWrap/>
            <w:vAlign w:val="center"/>
          </w:tcPr>
          <w:p w14:paraId="23EF46FB" w14:textId="77777777" w:rsidR="00162987" w:rsidRPr="000D14BE" w:rsidRDefault="00162987" w:rsidP="00162987">
            <w:pPr>
              <w:spacing w:after="0" w:line="240" w:lineRule="auto"/>
              <w:jc w:val="center"/>
              <w:rPr>
                <w:rFonts w:eastAsia="Times New Roman" w:cstheme="minorHAnsi"/>
                <w:color w:val="000000"/>
                <w:lang w:eastAsia="it-IT"/>
              </w:rPr>
            </w:pPr>
            <w:r w:rsidRPr="000D14BE">
              <w:rPr>
                <w:rFonts w:eastAsia="Times New Roman" w:cstheme="minorHAnsi"/>
                <w:color w:val="000000"/>
                <w:lang w:eastAsia="it-IT"/>
              </w:rPr>
              <w:t>491</w:t>
            </w:r>
          </w:p>
        </w:tc>
        <w:tc>
          <w:tcPr>
            <w:tcW w:w="1417" w:type="dxa"/>
            <w:shd w:val="clear" w:color="auto" w:fill="auto"/>
            <w:noWrap/>
            <w:vAlign w:val="center"/>
          </w:tcPr>
          <w:p w14:paraId="2D82CFD2" w14:textId="77777777" w:rsidR="00162987" w:rsidRPr="000D14BE" w:rsidRDefault="00162987" w:rsidP="00162987">
            <w:pPr>
              <w:spacing w:after="0" w:line="240" w:lineRule="auto"/>
              <w:jc w:val="center"/>
              <w:rPr>
                <w:rFonts w:eastAsia="Times New Roman" w:cstheme="minorHAnsi"/>
                <w:color w:val="000000"/>
                <w:lang w:eastAsia="it-IT"/>
              </w:rPr>
            </w:pPr>
            <w:r w:rsidRPr="000D14BE">
              <w:rPr>
                <w:rFonts w:eastAsia="Times New Roman" w:cstheme="minorHAnsi"/>
                <w:color w:val="000000"/>
                <w:lang w:eastAsia="it-IT"/>
              </w:rPr>
              <w:t>8.1</w:t>
            </w:r>
          </w:p>
        </w:tc>
        <w:tc>
          <w:tcPr>
            <w:tcW w:w="1508" w:type="dxa"/>
            <w:vAlign w:val="center"/>
          </w:tcPr>
          <w:p w14:paraId="0E6B6D74" w14:textId="77777777" w:rsidR="00162987" w:rsidRPr="000D14BE" w:rsidRDefault="00162987" w:rsidP="00162987">
            <w:pPr>
              <w:spacing w:after="0" w:line="240" w:lineRule="auto"/>
              <w:jc w:val="center"/>
              <w:rPr>
                <w:rFonts w:eastAsia="Times New Roman" w:cstheme="minorHAnsi"/>
                <w:color w:val="000000"/>
                <w:lang w:eastAsia="it-IT"/>
              </w:rPr>
            </w:pPr>
            <w:r w:rsidRPr="000D14BE">
              <w:rPr>
                <w:rFonts w:eastAsia="Times New Roman" w:cstheme="minorHAnsi"/>
                <w:color w:val="000000"/>
              </w:rPr>
              <w:t>66.6</w:t>
            </w:r>
          </w:p>
        </w:tc>
        <w:tc>
          <w:tcPr>
            <w:tcW w:w="1508" w:type="dxa"/>
            <w:vAlign w:val="center"/>
          </w:tcPr>
          <w:p w14:paraId="4A52BD87" w14:textId="77777777" w:rsidR="00162987" w:rsidRPr="00DA01D4" w:rsidRDefault="00162987" w:rsidP="00162987">
            <w:pPr>
              <w:spacing w:after="0" w:line="240" w:lineRule="auto"/>
              <w:jc w:val="center"/>
              <w:rPr>
                <w:rFonts w:eastAsia="Times New Roman" w:cstheme="minorHAnsi"/>
                <w:color w:val="000000"/>
                <w:lang w:eastAsia="it-IT"/>
              </w:rPr>
            </w:pPr>
            <w:r w:rsidRPr="00DA01D4">
              <w:rPr>
                <w:rFonts w:eastAsia="Times New Roman"/>
                <w:color w:val="000000"/>
              </w:rPr>
              <w:t>45.6</w:t>
            </w:r>
          </w:p>
        </w:tc>
      </w:tr>
      <w:tr w:rsidR="00162987" w:rsidRPr="000D14BE" w14:paraId="6CCAAE10" w14:textId="77777777" w:rsidTr="00162987">
        <w:trPr>
          <w:trHeight w:val="283"/>
        </w:trPr>
        <w:tc>
          <w:tcPr>
            <w:tcW w:w="3686" w:type="dxa"/>
            <w:shd w:val="clear" w:color="auto" w:fill="auto"/>
            <w:noWrap/>
            <w:vAlign w:val="center"/>
            <w:hideMark/>
          </w:tcPr>
          <w:p w14:paraId="52489D2B" w14:textId="77777777" w:rsidR="00162987" w:rsidRPr="000D14BE" w:rsidRDefault="00162987" w:rsidP="00162987">
            <w:pPr>
              <w:spacing w:after="0" w:line="240" w:lineRule="auto"/>
              <w:rPr>
                <w:rFonts w:eastAsia="Times New Roman" w:cstheme="minorHAnsi"/>
                <w:color w:val="000000"/>
                <w:lang w:eastAsia="it-IT"/>
              </w:rPr>
            </w:pPr>
            <w:proofErr w:type="spellStart"/>
            <w:r w:rsidRPr="000D14BE">
              <w:rPr>
                <w:rFonts w:eastAsia="Times New Roman" w:cstheme="minorHAnsi"/>
                <w:color w:val="000000"/>
                <w:lang w:eastAsia="it-IT"/>
              </w:rPr>
              <w:t>Spain</w:t>
            </w:r>
            <w:proofErr w:type="spellEnd"/>
            <w:r w:rsidRPr="000D14BE">
              <w:rPr>
                <w:rFonts w:eastAsia="Times New Roman" w:cstheme="minorHAnsi"/>
                <w:color w:val="000000"/>
                <w:lang w:eastAsia="it-IT"/>
              </w:rPr>
              <w:t xml:space="preserve">: </w:t>
            </w:r>
            <w:proofErr w:type="spellStart"/>
            <w:r w:rsidRPr="000D14BE">
              <w:rPr>
                <w:rFonts w:eastAsia="Times New Roman" w:cstheme="minorHAnsi"/>
                <w:color w:val="000000"/>
                <w:lang w:eastAsia="it-IT"/>
              </w:rPr>
              <w:t>Basque</w:t>
            </w:r>
            <w:proofErr w:type="spellEnd"/>
            <w:r w:rsidRPr="000D14BE">
              <w:rPr>
                <w:rFonts w:eastAsia="Times New Roman" w:cstheme="minorHAnsi"/>
                <w:color w:val="000000"/>
                <w:lang w:eastAsia="it-IT"/>
              </w:rPr>
              <w:t xml:space="preserve"> Country</w:t>
            </w:r>
          </w:p>
        </w:tc>
        <w:tc>
          <w:tcPr>
            <w:tcW w:w="1134" w:type="dxa"/>
            <w:shd w:val="clear" w:color="auto" w:fill="auto"/>
            <w:noWrap/>
            <w:vAlign w:val="center"/>
          </w:tcPr>
          <w:p w14:paraId="46C26D09" w14:textId="77777777" w:rsidR="00162987" w:rsidRPr="000D14BE" w:rsidRDefault="00162987" w:rsidP="00162987">
            <w:pPr>
              <w:spacing w:after="0" w:line="240" w:lineRule="auto"/>
              <w:jc w:val="center"/>
              <w:rPr>
                <w:rFonts w:eastAsia="Times New Roman" w:cstheme="minorHAnsi"/>
                <w:color w:val="000000"/>
                <w:lang w:eastAsia="it-IT"/>
              </w:rPr>
            </w:pPr>
            <w:r w:rsidRPr="000D14BE">
              <w:rPr>
                <w:rFonts w:eastAsia="Times New Roman" w:cstheme="minorHAnsi"/>
                <w:color w:val="000000"/>
                <w:lang w:eastAsia="it-IT"/>
              </w:rPr>
              <w:t>146</w:t>
            </w:r>
          </w:p>
        </w:tc>
        <w:tc>
          <w:tcPr>
            <w:tcW w:w="1417" w:type="dxa"/>
            <w:shd w:val="clear" w:color="auto" w:fill="auto"/>
            <w:noWrap/>
            <w:vAlign w:val="center"/>
          </w:tcPr>
          <w:p w14:paraId="2BDDDA1F" w14:textId="77777777" w:rsidR="00162987" w:rsidRPr="000D14BE" w:rsidRDefault="00162987" w:rsidP="00162987">
            <w:pPr>
              <w:spacing w:after="0" w:line="240" w:lineRule="auto"/>
              <w:jc w:val="center"/>
              <w:rPr>
                <w:rFonts w:eastAsia="Times New Roman" w:cstheme="minorHAnsi"/>
                <w:color w:val="000000"/>
                <w:lang w:eastAsia="it-IT"/>
              </w:rPr>
            </w:pPr>
            <w:r w:rsidRPr="000D14BE">
              <w:rPr>
                <w:rFonts w:eastAsia="Times New Roman" w:cstheme="minorHAnsi"/>
                <w:color w:val="000000"/>
                <w:lang w:eastAsia="it-IT"/>
              </w:rPr>
              <w:t>7.1</w:t>
            </w:r>
          </w:p>
        </w:tc>
        <w:tc>
          <w:tcPr>
            <w:tcW w:w="1508" w:type="dxa"/>
            <w:vAlign w:val="center"/>
          </w:tcPr>
          <w:p w14:paraId="7905A7A8" w14:textId="77777777" w:rsidR="00162987" w:rsidRPr="000D14BE" w:rsidRDefault="00162987" w:rsidP="00162987">
            <w:pPr>
              <w:spacing w:after="0" w:line="240" w:lineRule="auto"/>
              <w:jc w:val="center"/>
              <w:rPr>
                <w:rFonts w:eastAsia="Times New Roman" w:cstheme="minorHAnsi"/>
                <w:color w:val="000000"/>
                <w:lang w:eastAsia="it-IT"/>
              </w:rPr>
            </w:pPr>
            <w:r w:rsidRPr="000D14BE">
              <w:rPr>
                <w:rFonts w:eastAsia="Times New Roman" w:cstheme="minorHAnsi"/>
                <w:color w:val="000000"/>
              </w:rPr>
              <w:t>57.5</w:t>
            </w:r>
          </w:p>
        </w:tc>
        <w:tc>
          <w:tcPr>
            <w:tcW w:w="1508" w:type="dxa"/>
            <w:vAlign w:val="center"/>
          </w:tcPr>
          <w:p w14:paraId="68FDD469" w14:textId="77777777" w:rsidR="00162987" w:rsidRPr="00DA01D4" w:rsidRDefault="00162987" w:rsidP="00162987">
            <w:pPr>
              <w:spacing w:after="0" w:line="240" w:lineRule="auto"/>
              <w:jc w:val="center"/>
              <w:rPr>
                <w:rFonts w:eastAsia="Times New Roman" w:cstheme="minorHAnsi"/>
                <w:color w:val="000000"/>
                <w:lang w:eastAsia="it-IT"/>
              </w:rPr>
            </w:pPr>
            <w:r w:rsidRPr="00DA01D4">
              <w:rPr>
                <w:rFonts w:eastAsia="Times New Roman"/>
                <w:color w:val="000000"/>
              </w:rPr>
              <w:t>30.8</w:t>
            </w:r>
          </w:p>
        </w:tc>
      </w:tr>
      <w:tr w:rsidR="00162987" w:rsidRPr="000D14BE" w14:paraId="1FA289DC" w14:textId="77777777" w:rsidTr="00162987">
        <w:trPr>
          <w:trHeight w:val="283"/>
        </w:trPr>
        <w:tc>
          <w:tcPr>
            <w:tcW w:w="3686" w:type="dxa"/>
            <w:shd w:val="clear" w:color="auto" w:fill="auto"/>
            <w:noWrap/>
            <w:vAlign w:val="center"/>
            <w:hideMark/>
          </w:tcPr>
          <w:p w14:paraId="3684878F" w14:textId="77777777" w:rsidR="00162987" w:rsidRPr="000D14BE" w:rsidRDefault="00162987" w:rsidP="00162987">
            <w:pPr>
              <w:spacing w:after="0" w:line="240" w:lineRule="auto"/>
              <w:rPr>
                <w:rFonts w:eastAsia="Times New Roman" w:cstheme="minorHAnsi"/>
                <w:color w:val="000000"/>
                <w:lang w:eastAsia="it-IT"/>
              </w:rPr>
            </w:pPr>
            <w:proofErr w:type="spellStart"/>
            <w:r w:rsidRPr="000D14BE">
              <w:rPr>
                <w:rFonts w:eastAsia="Times New Roman" w:cstheme="minorHAnsi"/>
                <w:color w:val="000000"/>
                <w:lang w:eastAsia="it-IT"/>
              </w:rPr>
              <w:t>Spain</w:t>
            </w:r>
            <w:proofErr w:type="spellEnd"/>
            <w:r w:rsidRPr="000D14BE">
              <w:rPr>
                <w:rFonts w:eastAsia="Times New Roman" w:cstheme="minorHAnsi"/>
                <w:color w:val="000000"/>
                <w:lang w:eastAsia="it-IT"/>
              </w:rPr>
              <w:t xml:space="preserve">: </w:t>
            </w:r>
            <w:proofErr w:type="spellStart"/>
            <w:r w:rsidRPr="000D14BE">
              <w:rPr>
                <w:rFonts w:eastAsia="Times New Roman" w:cstheme="minorHAnsi"/>
                <w:color w:val="000000"/>
                <w:lang w:eastAsia="it-IT"/>
              </w:rPr>
              <w:t>Valencian</w:t>
            </w:r>
            <w:proofErr w:type="spellEnd"/>
            <w:r w:rsidRPr="000D14BE">
              <w:rPr>
                <w:rFonts w:eastAsia="Times New Roman" w:cstheme="minorHAnsi"/>
                <w:color w:val="000000"/>
                <w:lang w:eastAsia="it-IT"/>
              </w:rPr>
              <w:t xml:space="preserve"> </w:t>
            </w:r>
            <w:proofErr w:type="spellStart"/>
            <w:r w:rsidRPr="000D14BE">
              <w:rPr>
                <w:rFonts w:eastAsia="Times New Roman" w:cstheme="minorHAnsi"/>
                <w:color w:val="000000"/>
                <w:lang w:eastAsia="it-IT"/>
              </w:rPr>
              <w:t>Region</w:t>
            </w:r>
            <w:proofErr w:type="spellEnd"/>
          </w:p>
        </w:tc>
        <w:tc>
          <w:tcPr>
            <w:tcW w:w="1134" w:type="dxa"/>
            <w:shd w:val="clear" w:color="auto" w:fill="auto"/>
            <w:noWrap/>
            <w:vAlign w:val="center"/>
          </w:tcPr>
          <w:p w14:paraId="15515A95" w14:textId="77777777" w:rsidR="00162987" w:rsidRPr="000D14BE" w:rsidRDefault="00162987" w:rsidP="00162987">
            <w:pPr>
              <w:spacing w:after="0" w:line="240" w:lineRule="auto"/>
              <w:jc w:val="center"/>
              <w:rPr>
                <w:rFonts w:eastAsia="Times New Roman" w:cstheme="minorHAnsi"/>
                <w:color w:val="000000"/>
                <w:lang w:eastAsia="it-IT"/>
              </w:rPr>
            </w:pPr>
            <w:r w:rsidRPr="000D14BE">
              <w:rPr>
                <w:rFonts w:eastAsia="Times New Roman" w:cstheme="minorHAnsi"/>
                <w:color w:val="000000"/>
                <w:lang w:eastAsia="it-IT"/>
              </w:rPr>
              <w:t>364</w:t>
            </w:r>
          </w:p>
        </w:tc>
        <w:tc>
          <w:tcPr>
            <w:tcW w:w="1417" w:type="dxa"/>
            <w:shd w:val="clear" w:color="auto" w:fill="auto"/>
            <w:noWrap/>
            <w:vAlign w:val="center"/>
          </w:tcPr>
          <w:p w14:paraId="6D0CD39A" w14:textId="77777777" w:rsidR="00162987" w:rsidRPr="000D14BE" w:rsidRDefault="00162987" w:rsidP="00162987">
            <w:pPr>
              <w:spacing w:after="0" w:line="240" w:lineRule="auto"/>
              <w:jc w:val="center"/>
              <w:rPr>
                <w:rFonts w:eastAsia="Times New Roman" w:cstheme="minorHAnsi"/>
                <w:color w:val="000000"/>
                <w:lang w:eastAsia="it-IT"/>
              </w:rPr>
            </w:pPr>
            <w:r w:rsidRPr="000D14BE">
              <w:rPr>
                <w:rFonts w:eastAsia="Times New Roman" w:cstheme="minorHAnsi"/>
                <w:color w:val="000000"/>
                <w:lang w:eastAsia="it-IT"/>
              </w:rPr>
              <w:t>9.0</w:t>
            </w:r>
          </w:p>
        </w:tc>
        <w:tc>
          <w:tcPr>
            <w:tcW w:w="1508" w:type="dxa"/>
            <w:vAlign w:val="center"/>
          </w:tcPr>
          <w:p w14:paraId="201EB41B" w14:textId="77777777" w:rsidR="00162987" w:rsidRPr="000D14BE" w:rsidRDefault="00162987" w:rsidP="00162987">
            <w:pPr>
              <w:spacing w:after="0" w:line="240" w:lineRule="auto"/>
              <w:jc w:val="center"/>
              <w:rPr>
                <w:rFonts w:eastAsia="Times New Roman" w:cstheme="minorHAnsi"/>
                <w:color w:val="000000"/>
                <w:lang w:eastAsia="it-IT"/>
              </w:rPr>
            </w:pPr>
            <w:r w:rsidRPr="000D14BE">
              <w:rPr>
                <w:rFonts w:eastAsia="Times New Roman" w:cstheme="minorHAnsi"/>
                <w:color w:val="000000"/>
              </w:rPr>
              <w:t>66.2</w:t>
            </w:r>
          </w:p>
        </w:tc>
        <w:tc>
          <w:tcPr>
            <w:tcW w:w="1508" w:type="dxa"/>
            <w:vAlign w:val="center"/>
          </w:tcPr>
          <w:p w14:paraId="54F03EB5" w14:textId="77777777" w:rsidR="00162987" w:rsidRPr="00DA01D4" w:rsidRDefault="00162987" w:rsidP="00162987">
            <w:pPr>
              <w:spacing w:after="0" w:line="240" w:lineRule="auto"/>
              <w:jc w:val="center"/>
              <w:rPr>
                <w:rFonts w:eastAsia="Times New Roman" w:cstheme="minorHAnsi"/>
                <w:color w:val="000000"/>
                <w:lang w:eastAsia="it-IT"/>
              </w:rPr>
            </w:pPr>
            <w:r w:rsidRPr="00DA01D4">
              <w:rPr>
                <w:rFonts w:eastAsia="Times New Roman"/>
                <w:color w:val="000000"/>
              </w:rPr>
              <w:t>37.6</w:t>
            </w:r>
          </w:p>
        </w:tc>
      </w:tr>
      <w:tr w:rsidR="00162987" w:rsidRPr="000D14BE" w14:paraId="126FD341" w14:textId="77777777" w:rsidTr="00162987">
        <w:trPr>
          <w:trHeight w:val="283"/>
        </w:trPr>
        <w:tc>
          <w:tcPr>
            <w:tcW w:w="3686" w:type="dxa"/>
            <w:shd w:val="clear" w:color="auto" w:fill="auto"/>
            <w:noWrap/>
            <w:vAlign w:val="center"/>
            <w:hideMark/>
          </w:tcPr>
          <w:p w14:paraId="398F8A2C" w14:textId="77777777" w:rsidR="00162987" w:rsidRPr="000D14BE" w:rsidRDefault="00162987" w:rsidP="00162987">
            <w:pPr>
              <w:spacing w:after="0" w:line="240" w:lineRule="auto"/>
              <w:rPr>
                <w:rFonts w:eastAsia="Times New Roman" w:cstheme="minorHAnsi"/>
                <w:color w:val="000000"/>
                <w:lang w:eastAsia="it-IT"/>
              </w:rPr>
            </w:pPr>
            <w:r w:rsidRPr="000D14BE">
              <w:rPr>
                <w:rFonts w:eastAsia="Times New Roman" w:cstheme="minorHAnsi"/>
                <w:color w:val="000000"/>
                <w:lang w:eastAsia="it-IT"/>
              </w:rPr>
              <w:t>UK: Wales</w:t>
            </w:r>
          </w:p>
        </w:tc>
        <w:tc>
          <w:tcPr>
            <w:tcW w:w="1134" w:type="dxa"/>
            <w:shd w:val="clear" w:color="auto" w:fill="auto"/>
            <w:noWrap/>
            <w:vAlign w:val="center"/>
          </w:tcPr>
          <w:p w14:paraId="52B49E3D" w14:textId="77777777" w:rsidR="00162987" w:rsidRPr="000D14BE" w:rsidRDefault="00162987" w:rsidP="00162987">
            <w:pPr>
              <w:spacing w:after="0" w:line="240" w:lineRule="auto"/>
              <w:jc w:val="center"/>
              <w:rPr>
                <w:rFonts w:eastAsia="Times New Roman" w:cstheme="minorHAnsi"/>
                <w:color w:val="000000"/>
                <w:lang w:eastAsia="it-IT"/>
              </w:rPr>
            </w:pPr>
            <w:r w:rsidRPr="000D14BE">
              <w:rPr>
                <w:rFonts w:eastAsia="Times New Roman" w:cstheme="minorHAnsi"/>
                <w:color w:val="000000"/>
                <w:lang w:eastAsia="it-IT"/>
              </w:rPr>
              <w:t>381</w:t>
            </w:r>
          </w:p>
        </w:tc>
        <w:tc>
          <w:tcPr>
            <w:tcW w:w="1417" w:type="dxa"/>
            <w:shd w:val="clear" w:color="auto" w:fill="auto"/>
            <w:noWrap/>
            <w:vAlign w:val="center"/>
          </w:tcPr>
          <w:p w14:paraId="76276558" w14:textId="77777777" w:rsidR="00162987" w:rsidRPr="000D14BE" w:rsidRDefault="00162987" w:rsidP="00162987">
            <w:pPr>
              <w:spacing w:after="0" w:line="240" w:lineRule="auto"/>
              <w:jc w:val="center"/>
              <w:rPr>
                <w:rFonts w:eastAsia="Times New Roman" w:cstheme="minorHAnsi"/>
                <w:color w:val="000000"/>
                <w:lang w:eastAsia="it-IT"/>
              </w:rPr>
            </w:pPr>
            <w:r w:rsidRPr="000D14BE">
              <w:rPr>
                <w:rFonts w:eastAsia="Times New Roman" w:cstheme="minorHAnsi"/>
                <w:color w:val="000000"/>
                <w:lang w:eastAsia="it-IT"/>
              </w:rPr>
              <w:t>11.0</w:t>
            </w:r>
          </w:p>
        </w:tc>
        <w:tc>
          <w:tcPr>
            <w:tcW w:w="1508" w:type="dxa"/>
            <w:vAlign w:val="center"/>
          </w:tcPr>
          <w:p w14:paraId="6067E358" w14:textId="77777777" w:rsidR="00162987" w:rsidRPr="000D14BE" w:rsidRDefault="00162987" w:rsidP="00162987">
            <w:pPr>
              <w:spacing w:after="0" w:line="240" w:lineRule="auto"/>
              <w:jc w:val="center"/>
              <w:rPr>
                <w:rFonts w:eastAsia="Times New Roman" w:cstheme="minorHAnsi"/>
                <w:color w:val="000000"/>
                <w:lang w:eastAsia="it-IT"/>
              </w:rPr>
            </w:pPr>
            <w:r w:rsidRPr="000D14BE">
              <w:rPr>
                <w:rFonts w:eastAsia="Times New Roman" w:cstheme="minorHAnsi"/>
                <w:color w:val="000000"/>
              </w:rPr>
              <w:t>59.3</w:t>
            </w:r>
          </w:p>
        </w:tc>
        <w:tc>
          <w:tcPr>
            <w:tcW w:w="1508" w:type="dxa"/>
            <w:vAlign w:val="center"/>
          </w:tcPr>
          <w:p w14:paraId="0C8982E9" w14:textId="77777777" w:rsidR="00162987" w:rsidRPr="00DA01D4" w:rsidRDefault="00162987" w:rsidP="00162987">
            <w:pPr>
              <w:spacing w:after="0" w:line="240" w:lineRule="auto"/>
              <w:jc w:val="center"/>
              <w:rPr>
                <w:rFonts w:eastAsia="Times New Roman" w:cstheme="minorHAnsi"/>
                <w:color w:val="000000"/>
                <w:lang w:eastAsia="it-IT"/>
              </w:rPr>
            </w:pPr>
            <w:r w:rsidRPr="00DA01D4">
              <w:rPr>
                <w:rFonts w:eastAsia="Times New Roman"/>
                <w:color w:val="000000"/>
              </w:rPr>
              <w:t>38.6</w:t>
            </w:r>
          </w:p>
        </w:tc>
      </w:tr>
      <w:tr w:rsidR="00162987" w:rsidRPr="000D14BE" w14:paraId="142E8950" w14:textId="77777777" w:rsidTr="00162987">
        <w:trPr>
          <w:trHeight w:val="283"/>
        </w:trPr>
        <w:tc>
          <w:tcPr>
            <w:tcW w:w="3686" w:type="dxa"/>
            <w:shd w:val="clear" w:color="auto" w:fill="auto"/>
            <w:noWrap/>
            <w:vAlign w:val="center"/>
            <w:hideMark/>
          </w:tcPr>
          <w:p w14:paraId="67081756" w14:textId="77777777" w:rsidR="00162987" w:rsidRPr="000D14BE" w:rsidRDefault="00162987" w:rsidP="00162987">
            <w:pPr>
              <w:spacing w:after="0" w:line="240" w:lineRule="auto"/>
              <w:rPr>
                <w:rFonts w:eastAsia="Times New Roman" w:cstheme="minorHAnsi"/>
                <w:color w:val="000000"/>
                <w:lang w:eastAsia="it-IT"/>
              </w:rPr>
            </w:pPr>
            <w:r w:rsidRPr="000D14BE">
              <w:rPr>
                <w:rFonts w:eastAsia="Times New Roman" w:cstheme="minorHAnsi"/>
                <w:color w:val="000000"/>
                <w:lang w:eastAsia="it-IT"/>
              </w:rPr>
              <w:t xml:space="preserve">UK: </w:t>
            </w:r>
            <w:proofErr w:type="spellStart"/>
            <w:r w:rsidRPr="000D14BE">
              <w:rPr>
                <w:rFonts w:eastAsia="Times New Roman" w:cstheme="minorHAnsi"/>
                <w:color w:val="000000"/>
                <w:lang w:eastAsia="it-IT"/>
              </w:rPr>
              <w:t>Thames</w:t>
            </w:r>
            <w:proofErr w:type="spellEnd"/>
            <w:r w:rsidRPr="000D14BE">
              <w:rPr>
                <w:rFonts w:eastAsia="Times New Roman" w:cstheme="minorHAnsi"/>
                <w:color w:val="000000"/>
                <w:lang w:eastAsia="it-IT"/>
              </w:rPr>
              <w:t xml:space="preserve"> Valley</w:t>
            </w:r>
          </w:p>
        </w:tc>
        <w:tc>
          <w:tcPr>
            <w:tcW w:w="1134" w:type="dxa"/>
            <w:shd w:val="clear" w:color="auto" w:fill="auto"/>
            <w:noWrap/>
            <w:vAlign w:val="center"/>
          </w:tcPr>
          <w:p w14:paraId="3C743D52" w14:textId="77777777" w:rsidR="00162987" w:rsidRPr="000D14BE" w:rsidRDefault="00162987" w:rsidP="00162987">
            <w:pPr>
              <w:spacing w:after="0" w:line="240" w:lineRule="auto"/>
              <w:jc w:val="center"/>
              <w:rPr>
                <w:rFonts w:eastAsia="Times New Roman" w:cstheme="minorHAnsi"/>
                <w:color w:val="000000"/>
                <w:lang w:eastAsia="it-IT"/>
              </w:rPr>
            </w:pPr>
            <w:r w:rsidRPr="000D14BE">
              <w:rPr>
                <w:rFonts w:eastAsia="Times New Roman" w:cstheme="minorHAnsi"/>
                <w:color w:val="000000"/>
                <w:lang w:eastAsia="it-IT"/>
              </w:rPr>
              <w:t>254</w:t>
            </w:r>
          </w:p>
        </w:tc>
        <w:tc>
          <w:tcPr>
            <w:tcW w:w="1417" w:type="dxa"/>
            <w:shd w:val="clear" w:color="auto" w:fill="auto"/>
            <w:noWrap/>
            <w:vAlign w:val="center"/>
          </w:tcPr>
          <w:p w14:paraId="52614F06" w14:textId="77777777" w:rsidR="00162987" w:rsidRPr="000D14BE" w:rsidRDefault="00162987" w:rsidP="00162987">
            <w:pPr>
              <w:spacing w:after="0" w:line="240" w:lineRule="auto"/>
              <w:jc w:val="center"/>
              <w:rPr>
                <w:rFonts w:eastAsia="Times New Roman" w:cstheme="minorHAnsi"/>
                <w:color w:val="000000"/>
                <w:lang w:eastAsia="it-IT"/>
              </w:rPr>
            </w:pPr>
            <w:r w:rsidRPr="000D14BE">
              <w:rPr>
                <w:rFonts w:eastAsia="Times New Roman" w:cstheme="minorHAnsi"/>
                <w:color w:val="000000"/>
                <w:lang w:eastAsia="it-IT"/>
              </w:rPr>
              <w:t>9.4</w:t>
            </w:r>
          </w:p>
        </w:tc>
        <w:tc>
          <w:tcPr>
            <w:tcW w:w="1508" w:type="dxa"/>
            <w:vAlign w:val="center"/>
          </w:tcPr>
          <w:p w14:paraId="7A218A05" w14:textId="77777777" w:rsidR="00162987" w:rsidRPr="000D14BE" w:rsidRDefault="00162987" w:rsidP="00162987">
            <w:pPr>
              <w:spacing w:after="0" w:line="240" w:lineRule="auto"/>
              <w:jc w:val="center"/>
              <w:rPr>
                <w:rFonts w:eastAsia="Times New Roman" w:cstheme="minorHAnsi"/>
                <w:color w:val="000000"/>
                <w:lang w:eastAsia="it-IT"/>
              </w:rPr>
            </w:pPr>
            <w:r w:rsidRPr="000D14BE">
              <w:rPr>
                <w:rFonts w:eastAsia="Times New Roman" w:cstheme="minorHAnsi"/>
                <w:color w:val="000000"/>
              </w:rPr>
              <w:t>64.6</w:t>
            </w:r>
          </w:p>
        </w:tc>
        <w:tc>
          <w:tcPr>
            <w:tcW w:w="1508" w:type="dxa"/>
            <w:vAlign w:val="center"/>
          </w:tcPr>
          <w:p w14:paraId="73B8D0C8" w14:textId="77777777" w:rsidR="00162987" w:rsidRPr="00DA01D4" w:rsidRDefault="00162987" w:rsidP="00162987">
            <w:pPr>
              <w:spacing w:after="0" w:line="240" w:lineRule="auto"/>
              <w:jc w:val="center"/>
              <w:rPr>
                <w:rFonts w:eastAsia="Times New Roman" w:cstheme="minorHAnsi"/>
                <w:color w:val="000000"/>
                <w:lang w:eastAsia="it-IT"/>
              </w:rPr>
            </w:pPr>
            <w:r w:rsidRPr="00DA01D4">
              <w:rPr>
                <w:rFonts w:eastAsia="Times New Roman"/>
                <w:color w:val="000000"/>
              </w:rPr>
              <w:t>43.7</w:t>
            </w:r>
          </w:p>
        </w:tc>
      </w:tr>
      <w:tr w:rsidR="00162987" w:rsidRPr="000D14BE" w14:paraId="08BFE991" w14:textId="77777777" w:rsidTr="00162987">
        <w:trPr>
          <w:trHeight w:val="283"/>
        </w:trPr>
        <w:tc>
          <w:tcPr>
            <w:tcW w:w="3686" w:type="dxa"/>
            <w:shd w:val="clear" w:color="auto" w:fill="auto"/>
            <w:noWrap/>
            <w:vAlign w:val="center"/>
            <w:hideMark/>
          </w:tcPr>
          <w:p w14:paraId="585670E4" w14:textId="77777777" w:rsidR="00162987" w:rsidRPr="000D14BE" w:rsidRDefault="00162987" w:rsidP="00162987">
            <w:pPr>
              <w:spacing w:after="0" w:line="240" w:lineRule="auto"/>
              <w:rPr>
                <w:rFonts w:eastAsia="Times New Roman" w:cstheme="minorHAnsi"/>
                <w:color w:val="000000"/>
                <w:lang w:eastAsia="it-IT"/>
              </w:rPr>
            </w:pPr>
            <w:r w:rsidRPr="000D14BE">
              <w:rPr>
                <w:rFonts w:eastAsia="Times New Roman" w:cstheme="minorHAnsi"/>
                <w:color w:val="000000"/>
                <w:lang w:eastAsia="it-IT"/>
              </w:rPr>
              <w:t>UK: Wessex</w:t>
            </w:r>
          </w:p>
        </w:tc>
        <w:tc>
          <w:tcPr>
            <w:tcW w:w="1134" w:type="dxa"/>
            <w:shd w:val="clear" w:color="auto" w:fill="auto"/>
            <w:noWrap/>
            <w:vAlign w:val="center"/>
          </w:tcPr>
          <w:p w14:paraId="0735C8D4" w14:textId="77777777" w:rsidR="00162987" w:rsidRPr="000D14BE" w:rsidRDefault="00162987" w:rsidP="00162987">
            <w:pPr>
              <w:spacing w:after="0" w:line="240" w:lineRule="auto"/>
              <w:jc w:val="center"/>
              <w:rPr>
                <w:rFonts w:eastAsia="Times New Roman" w:cstheme="minorHAnsi"/>
                <w:color w:val="000000"/>
                <w:lang w:eastAsia="it-IT"/>
              </w:rPr>
            </w:pPr>
            <w:r w:rsidRPr="000D14BE">
              <w:rPr>
                <w:rFonts w:eastAsia="Times New Roman" w:cstheme="minorHAnsi"/>
                <w:color w:val="000000"/>
                <w:lang w:eastAsia="it-IT"/>
              </w:rPr>
              <w:t>256</w:t>
            </w:r>
          </w:p>
        </w:tc>
        <w:tc>
          <w:tcPr>
            <w:tcW w:w="1417" w:type="dxa"/>
            <w:shd w:val="clear" w:color="auto" w:fill="auto"/>
            <w:noWrap/>
            <w:vAlign w:val="center"/>
          </w:tcPr>
          <w:p w14:paraId="35661301" w14:textId="77777777" w:rsidR="00162987" w:rsidRPr="000D14BE" w:rsidRDefault="00162987" w:rsidP="00162987">
            <w:pPr>
              <w:spacing w:after="0" w:line="240" w:lineRule="auto"/>
              <w:jc w:val="center"/>
              <w:rPr>
                <w:rFonts w:eastAsia="Times New Roman" w:cstheme="minorHAnsi"/>
                <w:color w:val="000000"/>
                <w:lang w:eastAsia="it-IT"/>
              </w:rPr>
            </w:pPr>
            <w:r w:rsidRPr="000D14BE">
              <w:rPr>
                <w:rFonts w:eastAsia="Times New Roman" w:cstheme="minorHAnsi"/>
                <w:color w:val="000000"/>
                <w:lang w:eastAsia="it-IT"/>
              </w:rPr>
              <w:t>8.6</w:t>
            </w:r>
          </w:p>
        </w:tc>
        <w:tc>
          <w:tcPr>
            <w:tcW w:w="1508" w:type="dxa"/>
            <w:vAlign w:val="center"/>
          </w:tcPr>
          <w:p w14:paraId="27F3EABA" w14:textId="77777777" w:rsidR="00162987" w:rsidRPr="000D14BE" w:rsidRDefault="00162987" w:rsidP="00162987">
            <w:pPr>
              <w:spacing w:after="0" w:line="240" w:lineRule="auto"/>
              <w:jc w:val="center"/>
              <w:rPr>
                <w:rFonts w:eastAsia="Times New Roman" w:cstheme="minorHAnsi"/>
                <w:color w:val="000000"/>
                <w:lang w:eastAsia="it-IT"/>
              </w:rPr>
            </w:pPr>
            <w:r w:rsidRPr="000D14BE">
              <w:rPr>
                <w:rFonts w:eastAsia="Times New Roman" w:cstheme="minorHAnsi"/>
                <w:color w:val="000000"/>
              </w:rPr>
              <w:t>60.2</w:t>
            </w:r>
          </w:p>
        </w:tc>
        <w:tc>
          <w:tcPr>
            <w:tcW w:w="1508" w:type="dxa"/>
            <w:vAlign w:val="center"/>
          </w:tcPr>
          <w:p w14:paraId="5380A17C" w14:textId="77777777" w:rsidR="00162987" w:rsidRPr="00DA01D4" w:rsidRDefault="00162987" w:rsidP="00162987">
            <w:pPr>
              <w:spacing w:after="0" w:line="240" w:lineRule="auto"/>
              <w:jc w:val="center"/>
              <w:rPr>
                <w:rFonts w:eastAsia="Times New Roman" w:cstheme="minorHAnsi"/>
                <w:color w:val="000000"/>
                <w:lang w:eastAsia="it-IT"/>
              </w:rPr>
            </w:pPr>
            <w:r w:rsidRPr="00DA01D4">
              <w:rPr>
                <w:rFonts w:eastAsia="Times New Roman"/>
                <w:color w:val="000000"/>
              </w:rPr>
              <w:t>37.1</w:t>
            </w:r>
          </w:p>
        </w:tc>
      </w:tr>
      <w:tr w:rsidR="00162987" w:rsidRPr="000D14BE" w14:paraId="6DEBA683" w14:textId="77777777" w:rsidTr="00162987">
        <w:trPr>
          <w:trHeight w:val="283"/>
        </w:trPr>
        <w:tc>
          <w:tcPr>
            <w:tcW w:w="3686" w:type="dxa"/>
            <w:shd w:val="clear" w:color="auto" w:fill="auto"/>
            <w:noWrap/>
            <w:vAlign w:val="center"/>
            <w:hideMark/>
          </w:tcPr>
          <w:p w14:paraId="45701925" w14:textId="77777777" w:rsidR="00162987" w:rsidRPr="000D14BE" w:rsidRDefault="00162987" w:rsidP="00162987">
            <w:pPr>
              <w:spacing w:after="0" w:line="240" w:lineRule="auto"/>
              <w:rPr>
                <w:rFonts w:eastAsia="Times New Roman" w:cstheme="minorHAnsi"/>
                <w:color w:val="000000"/>
                <w:lang w:val="en-GB" w:eastAsia="it-IT"/>
              </w:rPr>
            </w:pPr>
            <w:r w:rsidRPr="000D14BE">
              <w:rPr>
                <w:rFonts w:eastAsia="Times New Roman" w:cstheme="minorHAnsi"/>
                <w:color w:val="000000"/>
                <w:lang w:val="en-GB" w:eastAsia="it-IT"/>
              </w:rPr>
              <w:t>UK:  East Midlands and South Yorkshire</w:t>
            </w:r>
          </w:p>
        </w:tc>
        <w:tc>
          <w:tcPr>
            <w:tcW w:w="1134" w:type="dxa"/>
            <w:shd w:val="clear" w:color="auto" w:fill="auto"/>
            <w:noWrap/>
            <w:vAlign w:val="center"/>
          </w:tcPr>
          <w:p w14:paraId="7881867E" w14:textId="77777777" w:rsidR="00162987" w:rsidRPr="000D14BE" w:rsidRDefault="00162987" w:rsidP="00162987">
            <w:pPr>
              <w:spacing w:after="0" w:line="240" w:lineRule="auto"/>
              <w:jc w:val="center"/>
              <w:rPr>
                <w:rFonts w:eastAsia="Times New Roman" w:cstheme="minorHAnsi"/>
                <w:color w:val="000000"/>
                <w:lang w:val="en-GB" w:eastAsia="it-IT"/>
              </w:rPr>
            </w:pPr>
            <w:r w:rsidRPr="000D14BE">
              <w:rPr>
                <w:rFonts w:eastAsia="Times New Roman" w:cstheme="minorHAnsi"/>
                <w:color w:val="000000"/>
                <w:lang w:val="en-GB" w:eastAsia="it-IT"/>
              </w:rPr>
              <w:t>628</w:t>
            </w:r>
          </w:p>
        </w:tc>
        <w:tc>
          <w:tcPr>
            <w:tcW w:w="1417" w:type="dxa"/>
            <w:shd w:val="clear" w:color="auto" w:fill="auto"/>
            <w:noWrap/>
            <w:vAlign w:val="center"/>
          </w:tcPr>
          <w:p w14:paraId="1C1178C0" w14:textId="77777777" w:rsidR="00162987" w:rsidRPr="000D14BE" w:rsidRDefault="00162987" w:rsidP="00162987">
            <w:pPr>
              <w:spacing w:after="0" w:line="240" w:lineRule="auto"/>
              <w:jc w:val="center"/>
              <w:rPr>
                <w:rFonts w:eastAsia="Times New Roman" w:cstheme="minorHAnsi"/>
                <w:color w:val="000000"/>
                <w:lang w:val="en-GB" w:eastAsia="it-IT"/>
              </w:rPr>
            </w:pPr>
            <w:r w:rsidRPr="000D14BE">
              <w:rPr>
                <w:rFonts w:eastAsia="Times New Roman" w:cstheme="minorHAnsi"/>
                <w:color w:val="000000"/>
                <w:lang w:val="en-GB" w:eastAsia="it-IT"/>
              </w:rPr>
              <w:t>10.7</w:t>
            </w:r>
          </w:p>
        </w:tc>
        <w:tc>
          <w:tcPr>
            <w:tcW w:w="1508" w:type="dxa"/>
            <w:vAlign w:val="center"/>
          </w:tcPr>
          <w:p w14:paraId="655223A8" w14:textId="77777777" w:rsidR="00162987" w:rsidRPr="000D14BE" w:rsidRDefault="00162987" w:rsidP="00162987">
            <w:pPr>
              <w:spacing w:after="0" w:line="240" w:lineRule="auto"/>
              <w:jc w:val="center"/>
              <w:rPr>
                <w:rFonts w:eastAsia="Times New Roman" w:cstheme="minorHAnsi"/>
                <w:color w:val="000000"/>
                <w:lang w:val="en-GB" w:eastAsia="it-IT"/>
              </w:rPr>
            </w:pPr>
            <w:r w:rsidRPr="000D14BE">
              <w:rPr>
                <w:rFonts w:eastAsia="Times New Roman" w:cstheme="minorHAnsi"/>
                <w:color w:val="000000"/>
              </w:rPr>
              <w:t>63.1</w:t>
            </w:r>
          </w:p>
        </w:tc>
        <w:tc>
          <w:tcPr>
            <w:tcW w:w="1508" w:type="dxa"/>
            <w:vAlign w:val="center"/>
          </w:tcPr>
          <w:p w14:paraId="1B2ECFEE" w14:textId="77777777" w:rsidR="00162987" w:rsidRPr="00D12B1E" w:rsidRDefault="00162987" w:rsidP="00162987">
            <w:pPr>
              <w:spacing w:after="0" w:line="240" w:lineRule="auto"/>
              <w:jc w:val="center"/>
              <w:rPr>
                <w:rFonts w:eastAsia="Times New Roman" w:cstheme="minorHAnsi"/>
                <w:color w:val="000000"/>
                <w:lang w:val="en-GB" w:eastAsia="it-IT"/>
              </w:rPr>
            </w:pPr>
            <w:r w:rsidRPr="00DA01D4">
              <w:rPr>
                <w:rFonts w:eastAsia="Times New Roman"/>
                <w:color w:val="000000"/>
              </w:rPr>
              <w:t>45.1</w:t>
            </w:r>
          </w:p>
        </w:tc>
      </w:tr>
      <w:tr w:rsidR="00162987" w:rsidRPr="000D14BE" w14:paraId="3B70BE8F" w14:textId="77777777" w:rsidTr="00162987">
        <w:trPr>
          <w:trHeight w:val="283"/>
        </w:trPr>
        <w:tc>
          <w:tcPr>
            <w:tcW w:w="3686" w:type="dxa"/>
            <w:shd w:val="clear" w:color="auto" w:fill="auto"/>
            <w:noWrap/>
            <w:vAlign w:val="center"/>
            <w:hideMark/>
          </w:tcPr>
          <w:p w14:paraId="045FF39E" w14:textId="77777777" w:rsidR="00162987" w:rsidRPr="000D14BE" w:rsidRDefault="00162987" w:rsidP="00162987">
            <w:pPr>
              <w:spacing w:after="0" w:line="240" w:lineRule="auto"/>
              <w:rPr>
                <w:rFonts w:eastAsia="Times New Roman" w:cstheme="minorHAnsi"/>
                <w:color w:val="000000"/>
                <w:lang w:eastAsia="it-IT"/>
              </w:rPr>
            </w:pPr>
            <w:r w:rsidRPr="000D14BE">
              <w:rPr>
                <w:rFonts w:eastAsia="Times New Roman" w:cstheme="minorHAnsi"/>
                <w:color w:val="000000"/>
                <w:lang w:eastAsia="it-IT"/>
              </w:rPr>
              <w:t>Ukraine: OMNI-Net</w:t>
            </w:r>
          </w:p>
        </w:tc>
        <w:tc>
          <w:tcPr>
            <w:tcW w:w="1134" w:type="dxa"/>
            <w:shd w:val="clear" w:color="auto" w:fill="auto"/>
            <w:noWrap/>
            <w:vAlign w:val="center"/>
          </w:tcPr>
          <w:p w14:paraId="7011A9F8" w14:textId="77777777" w:rsidR="00162987" w:rsidRPr="000D14BE" w:rsidRDefault="00162987" w:rsidP="00162987">
            <w:pPr>
              <w:spacing w:after="0" w:line="240" w:lineRule="auto"/>
              <w:jc w:val="center"/>
              <w:rPr>
                <w:rFonts w:eastAsia="Times New Roman" w:cstheme="minorHAnsi"/>
                <w:color w:val="000000"/>
                <w:lang w:eastAsia="it-IT"/>
              </w:rPr>
            </w:pPr>
            <w:r w:rsidRPr="000D14BE">
              <w:rPr>
                <w:rFonts w:eastAsia="Times New Roman" w:cstheme="minorHAnsi"/>
                <w:color w:val="000000"/>
                <w:lang w:eastAsia="it-IT"/>
              </w:rPr>
              <w:t>678</w:t>
            </w:r>
          </w:p>
        </w:tc>
        <w:tc>
          <w:tcPr>
            <w:tcW w:w="1417" w:type="dxa"/>
            <w:shd w:val="clear" w:color="auto" w:fill="auto"/>
            <w:noWrap/>
            <w:vAlign w:val="center"/>
          </w:tcPr>
          <w:p w14:paraId="70B28A6C" w14:textId="77777777" w:rsidR="00162987" w:rsidRPr="000D14BE" w:rsidRDefault="00162987" w:rsidP="00162987">
            <w:pPr>
              <w:spacing w:after="0" w:line="240" w:lineRule="auto"/>
              <w:jc w:val="center"/>
              <w:rPr>
                <w:rFonts w:eastAsia="Times New Roman" w:cstheme="minorHAnsi"/>
                <w:color w:val="000000"/>
                <w:lang w:eastAsia="it-IT"/>
              </w:rPr>
            </w:pPr>
            <w:r w:rsidRPr="000D14BE">
              <w:rPr>
                <w:rFonts w:eastAsia="Times New Roman" w:cstheme="minorHAnsi"/>
                <w:color w:val="000000"/>
                <w:lang w:eastAsia="it-IT"/>
              </w:rPr>
              <w:t>22.3</w:t>
            </w:r>
          </w:p>
        </w:tc>
        <w:tc>
          <w:tcPr>
            <w:tcW w:w="1508" w:type="dxa"/>
            <w:vAlign w:val="center"/>
          </w:tcPr>
          <w:p w14:paraId="0C7550D7" w14:textId="77777777" w:rsidR="00162987" w:rsidRPr="000D14BE" w:rsidRDefault="00162987" w:rsidP="00162987">
            <w:pPr>
              <w:spacing w:after="0" w:line="240" w:lineRule="auto"/>
              <w:jc w:val="center"/>
              <w:rPr>
                <w:rFonts w:eastAsia="Times New Roman" w:cstheme="minorHAnsi"/>
                <w:color w:val="000000"/>
                <w:lang w:eastAsia="it-IT"/>
              </w:rPr>
            </w:pPr>
            <w:r w:rsidRPr="000D14BE">
              <w:rPr>
                <w:rFonts w:eastAsia="Times New Roman" w:cstheme="minorHAnsi"/>
                <w:color w:val="000000"/>
              </w:rPr>
              <w:t>58.1</w:t>
            </w:r>
          </w:p>
        </w:tc>
        <w:tc>
          <w:tcPr>
            <w:tcW w:w="1508" w:type="dxa"/>
            <w:vAlign w:val="center"/>
          </w:tcPr>
          <w:p w14:paraId="0BAB0879" w14:textId="77777777" w:rsidR="00162987" w:rsidRPr="00DA01D4" w:rsidRDefault="00162987" w:rsidP="00162987">
            <w:pPr>
              <w:spacing w:after="0" w:line="240" w:lineRule="auto"/>
              <w:jc w:val="center"/>
              <w:rPr>
                <w:rFonts w:eastAsia="Times New Roman" w:cstheme="minorHAnsi"/>
                <w:color w:val="000000"/>
                <w:lang w:eastAsia="it-IT"/>
              </w:rPr>
            </w:pPr>
            <w:r w:rsidRPr="00DA01D4">
              <w:rPr>
                <w:rFonts w:eastAsia="Times New Roman"/>
                <w:color w:val="000000"/>
              </w:rPr>
              <w:t>37.2</w:t>
            </w:r>
          </w:p>
        </w:tc>
      </w:tr>
    </w:tbl>
    <w:p w14:paraId="6F4B3B0E" w14:textId="77777777" w:rsidR="00162987" w:rsidRPr="000D14BE" w:rsidRDefault="00162987" w:rsidP="00162987">
      <w:pPr>
        <w:spacing w:after="0" w:line="240" w:lineRule="auto"/>
        <w:rPr>
          <w:rFonts w:cstheme="minorHAnsi"/>
          <w:sz w:val="20"/>
          <w:szCs w:val="20"/>
          <w:lang w:val="en-GB"/>
        </w:rPr>
      </w:pPr>
      <w:r w:rsidRPr="000D14BE">
        <w:rPr>
          <w:rFonts w:cstheme="minorHAnsi"/>
          <w:sz w:val="18"/>
          <w:szCs w:val="18"/>
          <w:lang w:val="en-GB"/>
        </w:rPr>
        <w:t>Data not available for Antwerp (Belgium</w:t>
      </w:r>
      <w:r w:rsidRPr="000D14BE">
        <w:rPr>
          <w:rFonts w:cstheme="minorHAnsi"/>
          <w:sz w:val="20"/>
          <w:szCs w:val="20"/>
          <w:lang w:val="en-GB"/>
        </w:rPr>
        <w:t>)</w:t>
      </w:r>
    </w:p>
    <w:p w14:paraId="34257063" w14:textId="77777777" w:rsidR="00162987" w:rsidRPr="000D14BE" w:rsidRDefault="00162987" w:rsidP="00162987">
      <w:pPr>
        <w:spacing w:after="0" w:line="240" w:lineRule="auto"/>
        <w:rPr>
          <w:rFonts w:cstheme="minorHAnsi"/>
          <w:sz w:val="18"/>
          <w:szCs w:val="18"/>
          <w:lang w:val="en-GB"/>
        </w:rPr>
      </w:pPr>
      <w:r w:rsidRPr="000D14BE">
        <w:rPr>
          <w:rFonts w:cstheme="minorHAnsi"/>
          <w:sz w:val="18"/>
          <w:szCs w:val="18"/>
          <w:lang w:val="en-GB"/>
        </w:rPr>
        <w:t>* In Malta termination of pregnancy is illegal</w:t>
      </w:r>
    </w:p>
    <w:p w14:paraId="1B5559D0" w14:textId="77777777" w:rsidR="00162987" w:rsidRPr="000D14BE" w:rsidRDefault="00162987" w:rsidP="00162987">
      <w:pPr>
        <w:spacing w:after="0" w:line="240" w:lineRule="auto"/>
        <w:rPr>
          <w:rFonts w:cstheme="minorHAnsi"/>
          <w:sz w:val="18"/>
          <w:lang w:val="en-GB"/>
        </w:rPr>
      </w:pPr>
      <w:r w:rsidRPr="000D14BE">
        <w:rPr>
          <w:rFonts w:cstheme="minorHAnsi"/>
          <w:sz w:val="20"/>
          <w:szCs w:val="20"/>
          <w:lang w:val="en-GB"/>
        </w:rPr>
        <w:t xml:space="preserve">° </w:t>
      </w:r>
      <w:r w:rsidRPr="000D14BE">
        <w:rPr>
          <w:rFonts w:cstheme="minorHAnsi"/>
          <w:sz w:val="18"/>
          <w:lang w:val="en-GB"/>
        </w:rPr>
        <w:t>For Netherlands: Northern, due to small number restrictions for all values the last digits are rounded to 0 or 5</w:t>
      </w:r>
    </w:p>
    <w:p w14:paraId="3663D81C" w14:textId="77777777" w:rsidR="008C5AF1" w:rsidRDefault="008C5AF1" w:rsidP="008C5AF1">
      <w:pPr>
        <w:rPr>
          <w:sz w:val="20"/>
          <w:szCs w:val="20"/>
          <w:lang w:val="en-GB"/>
        </w:rPr>
      </w:pPr>
    </w:p>
    <w:p w14:paraId="2F668057" w14:textId="2DB8253E" w:rsidR="008C5AF1" w:rsidRDefault="008C5AF1" w:rsidP="008C5AF1">
      <w:pPr>
        <w:rPr>
          <w:sz w:val="20"/>
          <w:szCs w:val="20"/>
          <w:lang w:val="en-GB"/>
        </w:rPr>
      </w:pPr>
    </w:p>
    <w:p w14:paraId="0C79887A" w14:textId="24E7D6F8" w:rsidR="00162987" w:rsidRDefault="00162987">
      <w:pPr>
        <w:rPr>
          <w:sz w:val="20"/>
          <w:szCs w:val="20"/>
          <w:lang w:val="en-GB"/>
        </w:rPr>
      </w:pPr>
      <w:r>
        <w:rPr>
          <w:sz w:val="20"/>
          <w:szCs w:val="20"/>
          <w:lang w:val="en-GB"/>
        </w:rPr>
        <w:br w:type="page"/>
      </w:r>
    </w:p>
    <w:p w14:paraId="2F0132AE" w14:textId="79220BA7" w:rsidR="00162987" w:rsidRPr="00CE66BE" w:rsidRDefault="00162987" w:rsidP="00162987">
      <w:pPr>
        <w:rPr>
          <w:rFonts w:cstheme="minorHAnsi"/>
          <w:lang w:val="en-GB"/>
        </w:rPr>
      </w:pPr>
      <w:r w:rsidRPr="00CE66BE">
        <w:rPr>
          <w:rFonts w:cstheme="minorHAnsi"/>
          <w:b/>
          <w:lang w:val="en-GB"/>
        </w:rPr>
        <w:lastRenderedPageBreak/>
        <w:t xml:space="preserve">Fig. </w:t>
      </w:r>
      <w:r>
        <w:rPr>
          <w:rFonts w:cstheme="minorHAnsi"/>
          <w:b/>
          <w:lang w:val="en-GB"/>
        </w:rPr>
        <w:t>1</w:t>
      </w:r>
      <w:r w:rsidRPr="00CE66BE">
        <w:rPr>
          <w:rFonts w:cstheme="minorHAnsi"/>
          <w:lang w:val="en-GB"/>
        </w:rPr>
        <w:t xml:space="preserve"> Five-year survival compared with five-year survival conditional on having survived to 28 days in children with a major congenital anomaly (CA) (birth year period: 2005-2014). </w:t>
      </w:r>
      <w:proofErr w:type="gramStart"/>
      <w:r>
        <w:rPr>
          <w:rFonts w:cstheme="minorHAnsi"/>
          <w:b/>
          <w:lang w:val="en-GB"/>
        </w:rPr>
        <w:t>A</w:t>
      </w:r>
      <w:proofErr w:type="gramEnd"/>
      <w:r w:rsidRPr="00CE66BE">
        <w:rPr>
          <w:rFonts w:cstheme="minorHAnsi"/>
          <w:b/>
          <w:lang w:val="en-GB"/>
        </w:rPr>
        <w:t xml:space="preserve"> </w:t>
      </w:r>
      <w:r w:rsidRPr="00CE66BE">
        <w:rPr>
          <w:rFonts w:cstheme="minorHAnsi"/>
          <w:lang w:val="en-GB"/>
        </w:rPr>
        <w:t xml:space="preserve">‘All anomalies’, </w:t>
      </w:r>
      <w:r>
        <w:rPr>
          <w:rFonts w:cstheme="minorHAnsi"/>
          <w:b/>
          <w:lang w:val="en-GB"/>
        </w:rPr>
        <w:t>B</w:t>
      </w:r>
      <w:r w:rsidRPr="00CE66BE">
        <w:rPr>
          <w:rFonts w:cstheme="minorHAnsi"/>
          <w:b/>
          <w:lang w:val="en-GB"/>
        </w:rPr>
        <w:t xml:space="preserve"> </w:t>
      </w:r>
      <w:r w:rsidRPr="00CE66BE">
        <w:rPr>
          <w:rFonts w:cstheme="minorHAnsi"/>
          <w:lang w:val="en-GB"/>
        </w:rPr>
        <w:t>‘Severe congenital heart defects’</w:t>
      </w:r>
    </w:p>
    <w:p w14:paraId="5C020271" w14:textId="77777777" w:rsidR="00162987" w:rsidRPr="00CE66BE" w:rsidRDefault="00162987" w:rsidP="00162987">
      <w:pPr>
        <w:spacing w:after="60" w:line="240" w:lineRule="auto"/>
        <w:rPr>
          <w:rFonts w:cstheme="minorHAnsi"/>
          <w:lang w:val="en-GB"/>
        </w:rPr>
      </w:pPr>
    </w:p>
    <w:p w14:paraId="5424A2F5" w14:textId="77777777" w:rsidR="00162987" w:rsidRPr="00CE66BE" w:rsidRDefault="00162987" w:rsidP="00162987">
      <w:pPr>
        <w:spacing w:after="60" w:line="240" w:lineRule="auto"/>
        <w:rPr>
          <w:rFonts w:cstheme="minorHAnsi"/>
          <w:lang w:val="en-GB"/>
        </w:rPr>
      </w:pPr>
    </w:p>
    <w:p w14:paraId="4634F8C5" w14:textId="77777777" w:rsidR="00162987" w:rsidRPr="00CE66BE" w:rsidRDefault="00162987" w:rsidP="00162987">
      <w:pPr>
        <w:spacing w:after="60" w:line="240" w:lineRule="auto"/>
        <w:rPr>
          <w:rFonts w:cstheme="minorHAnsi"/>
          <w:lang w:val="en-GB"/>
        </w:rPr>
      </w:pPr>
    </w:p>
    <w:p w14:paraId="79386E09" w14:textId="77777777" w:rsidR="00162987" w:rsidRPr="00DD26B2" w:rsidRDefault="00162987" w:rsidP="00162987">
      <w:pPr>
        <w:spacing w:after="60" w:line="240" w:lineRule="auto"/>
        <w:rPr>
          <w:rFonts w:cstheme="minorHAnsi"/>
          <w:sz w:val="18"/>
          <w:szCs w:val="18"/>
          <w:lang w:val="en-GB"/>
        </w:rPr>
      </w:pPr>
      <w:r w:rsidRPr="00DD26B2">
        <w:rPr>
          <w:rFonts w:cstheme="minorHAnsi"/>
          <w:sz w:val="18"/>
          <w:szCs w:val="18"/>
          <w:lang w:val="en-GB"/>
        </w:rPr>
        <w:t>U= Ukraine: Omni-Net; M = Malta; F = Finland</w:t>
      </w:r>
    </w:p>
    <w:p w14:paraId="04E2529F" w14:textId="753AB93F" w:rsidR="00162987" w:rsidRDefault="00162987" w:rsidP="00162987">
      <w:pPr>
        <w:spacing w:after="60" w:line="240" w:lineRule="auto"/>
        <w:rPr>
          <w:rFonts w:cstheme="minorHAnsi"/>
          <w:noProof/>
          <w:sz w:val="18"/>
          <w:szCs w:val="18"/>
          <w:lang w:val="en-GB" w:eastAsia="it-IT"/>
        </w:rPr>
      </w:pPr>
      <w:r w:rsidRPr="00CE66BE">
        <w:rPr>
          <w:rFonts w:cstheme="minorHAnsi"/>
          <w:noProof/>
          <w:sz w:val="18"/>
          <w:szCs w:val="18"/>
          <w:lang w:val="en-GB" w:eastAsia="it-IT"/>
        </w:rPr>
        <w:t>Data of ‘Severe congenital heart defects’ for Denmark: Funen could not be displayed due to small numbers</w:t>
      </w:r>
    </w:p>
    <w:p w14:paraId="68E1A051" w14:textId="18A1B1C5" w:rsidR="00162987" w:rsidRDefault="00162987" w:rsidP="00162987">
      <w:pPr>
        <w:spacing w:after="60" w:line="240" w:lineRule="auto"/>
        <w:rPr>
          <w:rFonts w:cstheme="minorHAnsi"/>
          <w:noProof/>
          <w:sz w:val="18"/>
          <w:szCs w:val="18"/>
          <w:lang w:val="en-GB" w:eastAsia="it-IT"/>
        </w:rPr>
      </w:pPr>
    </w:p>
    <w:p w14:paraId="0E2D7EDA" w14:textId="43CE3912" w:rsidR="00162987" w:rsidRDefault="00162987">
      <w:pPr>
        <w:rPr>
          <w:rFonts w:cstheme="minorHAnsi"/>
          <w:noProof/>
          <w:sz w:val="18"/>
          <w:szCs w:val="18"/>
          <w:lang w:val="en-GB" w:eastAsia="it-IT"/>
        </w:rPr>
      </w:pPr>
      <w:r>
        <w:rPr>
          <w:rFonts w:cstheme="minorHAnsi"/>
          <w:noProof/>
          <w:sz w:val="18"/>
          <w:szCs w:val="18"/>
          <w:lang w:val="en-GB" w:eastAsia="it-IT"/>
        </w:rPr>
        <w:br w:type="page"/>
      </w:r>
    </w:p>
    <w:p w14:paraId="00A1BB8E" w14:textId="46E9CD4C" w:rsidR="00162987" w:rsidRPr="00CE66BE" w:rsidRDefault="00162987" w:rsidP="00162987">
      <w:pPr>
        <w:rPr>
          <w:rFonts w:cstheme="minorHAnsi"/>
          <w:lang w:val="en-GB"/>
        </w:rPr>
      </w:pPr>
      <w:r w:rsidRPr="00CE66BE">
        <w:rPr>
          <w:rFonts w:cstheme="minorHAnsi"/>
          <w:b/>
          <w:lang w:val="en-GB"/>
        </w:rPr>
        <w:lastRenderedPageBreak/>
        <w:t xml:space="preserve">Fig. </w:t>
      </w:r>
      <w:r>
        <w:rPr>
          <w:rFonts w:cstheme="minorHAnsi"/>
          <w:b/>
          <w:lang w:val="en-GB"/>
        </w:rPr>
        <w:t>2</w:t>
      </w:r>
      <w:r w:rsidRPr="00CE66BE">
        <w:rPr>
          <w:rFonts w:cstheme="minorHAnsi"/>
          <w:lang w:val="en-GB"/>
        </w:rPr>
        <w:t xml:space="preserve"> Five-year survival in children with a major congenital anomaly compared with the prevalence of children with a major congenital anomaly (CA)</w:t>
      </w:r>
      <w:r w:rsidRPr="00CE66BE">
        <w:rPr>
          <w:rFonts w:cstheme="minorHAnsi"/>
          <w:sz w:val="20"/>
          <w:szCs w:val="20"/>
          <w:lang w:val="en-GB"/>
        </w:rPr>
        <w:t xml:space="preserve"> </w:t>
      </w:r>
      <w:r w:rsidRPr="00CE66BE">
        <w:rPr>
          <w:rFonts w:cstheme="minorHAnsi"/>
          <w:lang w:val="en-GB"/>
        </w:rPr>
        <w:t>(birth year period: 2005-2014).</w:t>
      </w:r>
      <w:r w:rsidRPr="00CE66BE">
        <w:rPr>
          <w:rFonts w:cstheme="minorHAnsi"/>
          <w:b/>
          <w:lang w:val="en-GB"/>
        </w:rPr>
        <w:t xml:space="preserve"> </w:t>
      </w:r>
      <w:proofErr w:type="gramStart"/>
      <w:r>
        <w:rPr>
          <w:rFonts w:cstheme="minorHAnsi"/>
          <w:b/>
          <w:lang w:val="en-GB"/>
        </w:rPr>
        <w:t>A</w:t>
      </w:r>
      <w:proofErr w:type="gramEnd"/>
      <w:r w:rsidRPr="00CE66BE">
        <w:rPr>
          <w:rFonts w:cstheme="minorHAnsi"/>
          <w:b/>
          <w:lang w:val="en-GB"/>
        </w:rPr>
        <w:t xml:space="preserve"> </w:t>
      </w:r>
      <w:r w:rsidRPr="00CE66BE">
        <w:rPr>
          <w:rFonts w:cstheme="minorHAnsi"/>
          <w:lang w:val="en-GB"/>
        </w:rPr>
        <w:t xml:space="preserve">‘All anomalies’, </w:t>
      </w:r>
      <w:r>
        <w:rPr>
          <w:rFonts w:cstheme="minorHAnsi"/>
          <w:b/>
          <w:lang w:val="en-GB"/>
        </w:rPr>
        <w:t>B</w:t>
      </w:r>
      <w:r w:rsidRPr="00CE66BE">
        <w:rPr>
          <w:rFonts w:cstheme="minorHAnsi"/>
          <w:b/>
          <w:lang w:val="en-GB"/>
        </w:rPr>
        <w:t xml:space="preserve"> </w:t>
      </w:r>
      <w:r w:rsidRPr="00CE66BE">
        <w:rPr>
          <w:rFonts w:cstheme="minorHAnsi"/>
          <w:lang w:val="en-GB"/>
        </w:rPr>
        <w:t>‘Severe congenital heart defects’</w:t>
      </w:r>
    </w:p>
    <w:p w14:paraId="57A4E6C4" w14:textId="77777777" w:rsidR="00162987" w:rsidRPr="00CE66BE" w:rsidRDefault="00162987" w:rsidP="00162987">
      <w:pPr>
        <w:rPr>
          <w:rFonts w:cstheme="minorHAnsi"/>
          <w:lang w:val="en-GB"/>
        </w:rPr>
      </w:pPr>
    </w:p>
    <w:p w14:paraId="6C35BF2C" w14:textId="77777777" w:rsidR="00162987" w:rsidRPr="00CE66BE" w:rsidRDefault="00162987" w:rsidP="00162987">
      <w:pPr>
        <w:rPr>
          <w:rFonts w:cstheme="minorHAnsi"/>
          <w:lang w:val="en-GB"/>
        </w:rPr>
      </w:pPr>
    </w:p>
    <w:p w14:paraId="64F3FBB6" w14:textId="77777777" w:rsidR="00162987" w:rsidRPr="00CE66BE" w:rsidRDefault="00162987" w:rsidP="00162987">
      <w:pPr>
        <w:rPr>
          <w:rFonts w:cstheme="minorHAnsi"/>
          <w:lang w:val="en-GB"/>
        </w:rPr>
      </w:pPr>
    </w:p>
    <w:p w14:paraId="7F0C515A" w14:textId="77777777" w:rsidR="00162987" w:rsidRPr="00CE66BE" w:rsidRDefault="00162987" w:rsidP="00162987">
      <w:pPr>
        <w:spacing w:after="60" w:line="240" w:lineRule="auto"/>
        <w:rPr>
          <w:rFonts w:cstheme="minorHAnsi"/>
          <w:sz w:val="18"/>
          <w:szCs w:val="18"/>
          <w:lang w:val="en-GB"/>
        </w:rPr>
      </w:pPr>
      <w:r w:rsidRPr="00CE66BE">
        <w:rPr>
          <w:rFonts w:cstheme="minorHAnsi"/>
          <w:sz w:val="18"/>
          <w:szCs w:val="18"/>
          <w:lang w:val="en-GB"/>
        </w:rPr>
        <w:t>U= Ukraine: Omni-Net; M = Malta; F = Finland</w:t>
      </w:r>
    </w:p>
    <w:p w14:paraId="1699DA8A" w14:textId="77777777" w:rsidR="00162987" w:rsidRPr="00D36888" w:rsidRDefault="00162987" w:rsidP="00162987">
      <w:pPr>
        <w:rPr>
          <w:rFonts w:ascii="Times New Roman" w:hAnsi="Times New Roman" w:cs="Times New Roman"/>
          <w:b/>
          <w:lang w:val="en-GB"/>
        </w:rPr>
      </w:pPr>
    </w:p>
    <w:p w14:paraId="5970481F" w14:textId="77777777" w:rsidR="00162987" w:rsidRPr="00CE66BE" w:rsidRDefault="00162987" w:rsidP="00162987">
      <w:pPr>
        <w:spacing w:after="60" w:line="240" w:lineRule="auto"/>
        <w:rPr>
          <w:rFonts w:cstheme="minorHAnsi"/>
          <w:noProof/>
          <w:sz w:val="18"/>
          <w:szCs w:val="18"/>
          <w:lang w:val="en-GB" w:eastAsia="it-IT"/>
        </w:rPr>
      </w:pPr>
    </w:p>
    <w:p w14:paraId="6D2EA815" w14:textId="5FBA5900" w:rsidR="00162987" w:rsidRDefault="00162987">
      <w:pPr>
        <w:rPr>
          <w:sz w:val="20"/>
          <w:szCs w:val="20"/>
          <w:lang w:val="en-GB"/>
        </w:rPr>
      </w:pPr>
      <w:r>
        <w:rPr>
          <w:sz w:val="20"/>
          <w:szCs w:val="20"/>
          <w:lang w:val="en-GB"/>
        </w:rPr>
        <w:br w:type="page"/>
      </w:r>
    </w:p>
    <w:p w14:paraId="0AF5483E" w14:textId="77777777" w:rsidR="00162987" w:rsidRPr="0079596D" w:rsidRDefault="00162987" w:rsidP="008C5AF1">
      <w:pPr>
        <w:rPr>
          <w:sz w:val="20"/>
          <w:szCs w:val="20"/>
          <w:lang w:val="en-GB"/>
        </w:rPr>
        <w:sectPr w:rsidR="00162987" w:rsidRPr="0079596D" w:rsidSect="00672B69">
          <w:footerReference w:type="default" r:id="rId9"/>
          <w:pgSz w:w="11906" w:h="16838"/>
          <w:pgMar w:top="1418" w:right="1418" w:bottom="1418" w:left="1418" w:header="709" w:footer="709" w:gutter="0"/>
          <w:cols w:space="708"/>
          <w:docGrid w:linePitch="360"/>
        </w:sectPr>
      </w:pPr>
    </w:p>
    <w:p w14:paraId="0A565F1A" w14:textId="1DDA8B1D" w:rsidR="008C5AF1" w:rsidRPr="00CE66BE" w:rsidRDefault="008C5AF1" w:rsidP="008C5AF1">
      <w:pPr>
        <w:spacing w:after="60" w:line="240" w:lineRule="auto"/>
        <w:rPr>
          <w:rFonts w:cstheme="minorHAnsi"/>
          <w:lang w:val="en-GB"/>
        </w:rPr>
      </w:pPr>
      <w:r w:rsidRPr="00CE66BE">
        <w:rPr>
          <w:rFonts w:cstheme="minorHAnsi"/>
          <w:b/>
          <w:lang w:val="en-GB"/>
        </w:rPr>
        <w:lastRenderedPageBreak/>
        <w:t>Fig</w:t>
      </w:r>
      <w:r w:rsidR="00A13C64">
        <w:rPr>
          <w:rFonts w:cstheme="minorHAnsi"/>
          <w:b/>
          <w:lang w:val="en-GB"/>
        </w:rPr>
        <w:t>ure S</w:t>
      </w:r>
      <w:r w:rsidRPr="00CE66BE">
        <w:rPr>
          <w:rFonts w:cstheme="minorHAnsi"/>
          <w:b/>
          <w:lang w:val="en-GB"/>
        </w:rPr>
        <w:t>1</w:t>
      </w:r>
      <w:r w:rsidRPr="00CE66BE">
        <w:rPr>
          <w:rFonts w:cstheme="minorHAnsi"/>
          <w:lang w:val="en-GB"/>
        </w:rPr>
        <w:t xml:space="preserve"> Kaplan-Meier survival estimates with 95% Confidence Intervals by registry (birth year period: 2005-2014). </w:t>
      </w:r>
      <w:r w:rsidR="00A13C64">
        <w:rPr>
          <w:rFonts w:cstheme="minorHAnsi"/>
          <w:b/>
          <w:lang w:val="en-GB"/>
        </w:rPr>
        <w:t>A</w:t>
      </w:r>
      <w:r w:rsidRPr="00CE66BE">
        <w:rPr>
          <w:rFonts w:cstheme="minorHAnsi"/>
          <w:lang w:val="en-GB"/>
        </w:rPr>
        <w:t xml:space="preserve"> Surviving at 28 days of age for ‘All anomalies’, </w:t>
      </w:r>
      <w:r w:rsidR="00A13C64">
        <w:rPr>
          <w:rFonts w:cstheme="minorHAnsi"/>
          <w:b/>
          <w:lang w:val="en-GB"/>
        </w:rPr>
        <w:t>B</w:t>
      </w:r>
      <w:r w:rsidRPr="00CE66BE">
        <w:rPr>
          <w:rFonts w:cstheme="minorHAnsi"/>
          <w:lang w:val="en-GB"/>
        </w:rPr>
        <w:t xml:space="preserve"> Surviving at 5years of age for ‘All anomalies’, </w:t>
      </w:r>
      <w:r w:rsidR="00A13C64">
        <w:rPr>
          <w:rFonts w:cstheme="minorHAnsi"/>
          <w:b/>
          <w:lang w:val="en-GB"/>
        </w:rPr>
        <w:t>C</w:t>
      </w:r>
      <w:r w:rsidRPr="00CE66BE">
        <w:rPr>
          <w:rFonts w:cstheme="minorHAnsi"/>
          <w:lang w:val="en-GB"/>
        </w:rPr>
        <w:t xml:space="preserve"> Surviving at 28 days of age for ‘Severe congenital heart defects’, </w:t>
      </w:r>
      <w:r w:rsidR="00A13C64">
        <w:rPr>
          <w:rFonts w:cstheme="minorHAnsi"/>
          <w:b/>
          <w:lang w:val="en-GB"/>
        </w:rPr>
        <w:t>D</w:t>
      </w:r>
      <w:r w:rsidRPr="00CE66BE">
        <w:rPr>
          <w:rFonts w:cstheme="minorHAnsi"/>
          <w:lang w:val="en-GB"/>
        </w:rPr>
        <w:t xml:space="preserve"> Surviving at 5years of age for ‘Severe congenital heart defects’</w:t>
      </w:r>
    </w:p>
    <w:p w14:paraId="2E8B2597" w14:textId="77777777" w:rsidR="008C5AF1" w:rsidRDefault="008C5AF1" w:rsidP="008C5AF1">
      <w:pPr>
        <w:spacing w:after="60" w:line="240" w:lineRule="auto"/>
        <w:rPr>
          <w:rFonts w:ascii="Times New Roman" w:hAnsi="Times New Roman" w:cs="Times New Roman"/>
          <w:lang w:val="en-GB"/>
        </w:rPr>
      </w:pPr>
    </w:p>
    <w:p w14:paraId="2B2DCDBA" w14:textId="77777777" w:rsidR="008C5AF1" w:rsidRDefault="008C5AF1" w:rsidP="008C5AF1">
      <w:pPr>
        <w:spacing w:after="60" w:line="240" w:lineRule="auto"/>
        <w:rPr>
          <w:rFonts w:ascii="Times New Roman" w:hAnsi="Times New Roman" w:cs="Times New Roman"/>
          <w:lang w:val="en-GB"/>
        </w:rPr>
      </w:pPr>
    </w:p>
    <w:p w14:paraId="173A1112" w14:textId="36DF01FB" w:rsidR="008C5AF1" w:rsidRDefault="008C5AF1" w:rsidP="008C5AF1">
      <w:pPr>
        <w:spacing w:after="60" w:line="240" w:lineRule="auto"/>
        <w:rPr>
          <w:rFonts w:ascii="Times New Roman" w:hAnsi="Times New Roman" w:cs="Times New Roman"/>
          <w:lang w:val="en-GB"/>
        </w:rPr>
      </w:pPr>
    </w:p>
    <w:p w14:paraId="245BC75D" w14:textId="238D9645" w:rsidR="00E504ED" w:rsidRDefault="00E504ED" w:rsidP="008C5AF1">
      <w:pPr>
        <w:spacing w:after="60" w:line="240" w:lineRule="auto"/>
        <w:rPr>
          <w:rFonts w:ascii="Times New Roman" w:hAnsi="Times New Roman" w:cs="Times New Roman"/>
          <w:lang w:val="en-GB"/>
        </w:rPr>
      </w:pPr>
    </w:p>
    <w:p w14:paraId="09CA9C1A" w14:textId="77777777" w:rsidR="00E504ED" w:rsidRDefault="00E504ED" w:rsidP="008C5AF1">
      <w:pPr>
        <w:spacing w:after="60" w:line="240" w:lineRule="auto"/>
        <w:rPr>
          <w:rFonts w:ascii="Times New Roman" w:hAnsi="Times New Roman" w:cs="Times New Roman"/>
          <w:lang w:val="en-GB"/>
        </w:rPr>
      </w:pPr>
    </w:p>
    <w:p w14:paraId="171A6A94" w14:textId="77777777" w:rsidR="00C567E2" w:rsidRPr="00CE66BE" w:rsidRDefault="00C567E2" w:rsidP="008C5AF1">
      <w:pPr>
        <w:spacing w:after="60" w:line="240" w:lineRule="auto"/>
        <w:rPr>
          <w:rFonts w:cstheme="minorHAnsi"/>
          <w:lang w:val="en-GB"/>
        </w:rPr>
      </w:pPr>
    </w:p>
    <w:p w14:paraId="29AD915E" w14:textId="77777777" w:rsidR="008C5AF1" w:rsidRPr="00CE66BE" w:rsidRDefault="008C5AF1" w:rsidP="008C5AF1">
      <w:pPr>
        <w:spacing w:after="60" w:line="240" w:lineRule="auto"/>
        <w:rPr>
          <w:rFonts w:cstheme="minorHAnsi"/>
          <w:sz w:val="18"/>
          <w:szCs w:val="18"/>
          <w:lang w:val="en-GB"/>
        </w:rPr>
      </w:pPr>
      <w:r w:rsidRPr="00CE66BE">
        <w:rPr>
          <w:rFonts w:cstheme="minorHAnsi"/>
          <w:sz w:val="18"/>
          <w:szCs w:val="18"/>
          <w:lang w:val="en-GB"/>
        </w:rPr>
        <w:t>* In Malta termination of pregnancy is illegal</w:t>
      </w:r>
    </w:p>
    <w:p w14:paraId="02AE94F9" w14:textId="77777777" w:rsidR="008C5AF1" w:rsidRPr="00CE66BE" w:rsidRDefault="008C5AF1" w:rsidP="008C5AF1">
      <w:pPr>
        <w:spacing w:after="60" w:line="240" w:lineRule="auto"/>
        <w:rPr>
          <w:rFonts w:cstheme="minorHAnsi"/>
          <w:noProof/>
          <w:sz w:val="18"/>
          <w:szCs w:val="18"/>
          <w:lang w:val="en-GB" w:eastAsia="it-IT"/>
        </w:rPr>
      </w:pPr>
      <w:r w:rsidRPr="00CE66BE">
        <w:rPr>
          <w:rFonts w:cstheme="minorHAnsi"/>
          <w:noProof/>
          <w:sz w:val="18"/>
          <w:szCs w:val="18"/>
          <w:lang w:val="en-GB" w:eastAsia="it-IT"/>
        </w:rPr>
        <w:t>Data of ‘Severe congenital heart defects’ at 28 days of age for Denmark: Funen could not be displayed due to small numbers</w:t>
      </w:r>
    </w:p>
    <w:p w14:paraId="7E95D56B" w14:textId="77777777" w:rsidR="008C5AF1" w:rsidRPr="00CE66BE" w:rsidRDefault="008C5AF1" w:rsidP="008C5AF1">
      <w:pPr>
        <w:spacing w:after="60" w:line="240" w:lineRule="auto"/>
        <w:rPr>
          <w:rFonts w:cstheme="minorHAnsi"/>
          <w:sz w:val="18"/>
          <w:szCs w:val="18"/>
          <w:lang w:val="en-GB"/>
        </w:rPr>
      </w:pPr>
      <w:r w:rsidRPr="00CE66BE">
        <w:rPr>
          <w:rFonts w:cstheme="minorHAnsi"/>
          <w:sz w:val="18"/>
          <w:szCs w:val="18"/>
          <w:lang w:val="en-GB"/>
        </w:rPr>
        <w:t xml:space="preserve">‘Severe congenital heart defects included’: common arterial truncus, double outlet right ventricle, transposition of great vessels, single ventricle, atrioventricular septal defect, tetralogy of </w:t>
      </w:r>
      <w:proofErr w:type="spellStart"/>
      <w:r w:rsidRPr="00CE66BE">
        <w:rPr>
          <w:rFonts w:cstheme="minorHAnsi"/>
          <w:sz w:val="18"/>
          <w:szCs w:val="18"/>
          <w:lang w:val="en-GB"/>
        </w:rPr>
        <w:t>Fallot</w:t>
      </w:r>
      <w:proofErr w:type="spellEnd"/>
      <w:r w:rsidRPr="00CE66BE">
        <w:rPr>
          <w:rFonts w:cstheme="minorHAnsi"/>
          <w:sz w:val="18"/>
          <w:szCs w:val="18"/>
          <w:lang w:val="en-GB"/>
        </w:rPr>
        <w:t xml:space="preserve">, pulmonary valve atresia, tricuspid atresia and stenosis, </w:t>
      </w:r>
      <w:proofErr w:type="spellStart"/>
      <w:r w:rsidRPr="00CE66BE">
        <w:rPr>
          <w:rFonts w:cstheme="minorHAnsi"/>
          <w:sz w:val="18"/>
          <w:szCs w:val="18"/>
          <w:lang w:val="en-GB"/>
        </w:rPr>
        <w:t>Ebstein</w:t>
      </w:r>
      <w:proofErr w:type="spellEnd"/>
      <w:r w:rsidRPr="00CE66BE">
        <w:rPr>
          <w:rFonts w:cstheme="minorHAnsi"/>
          <w:sz w:val="18"/>
          <w:szCs w:val="18"/>
          <w:lang w:val="en-GB"/>
        </w:rPr>
        <w:t xml:space="preserve"> anomaly, </w:t>
      </w:r>
      <w:proofErr w:type="spellStart"/>
      <w:r w:rsidRPr="00CE66BE">
        <w:rPr>
          <w:rFonts w:cstheme="minorHAnsi"/>
          <w:sz w:val="18"/>
          <w:szCs w:val="18"/>
          <w:lang w:val="en-GB"/>
        </w:rPr>
        <w:t>hypoplastic</w:t>
      </w:r>
      <w:proofErr w:type="spellEnd"/>
      <w:r w:rsidRPr="00CE66BE">
        <w:rPr>
          <w:rFonts w:cstheme="minorHAnsi"/>
          <w:sz w:val="18"/>
          <w:szCs w:val="18"/>
          <w:lang w:val="en-GB"/>
        </w:rPr>
        <w:t xml:space="preserve"> right heart, aortic valve atresia/stenosis, mitral valve anomalies, </w:t>
      </w:r>
      <w:proofErr w:type="spellStart"/>
      <w:r w:rsidRPr="00CE66BE">
        <w:rPr>
          <w:rFonts w:cstheme="minorHAnsi"/>
          <w:sz w:val="18"/>
          <w:szCs w:val="18"/>
          <w:lang w:val="en-GB"/>
        </w:rPr>
        <w:t>hypoplastic</w:t>
      </w:r>
      <w:proofErr w:type="spellEnd"/>
      <w:r w:rsidRPr="00CE66BE">
        <w:rPr>
          <w:rFonts w:cstheme="minorHAnsi"/>
          <w:sz w:val="18"/>
          <w:szCs w:val="18"/>
          <w:lang w:val="en-GB"/>
        </w:rPr>
        <w:t xml:space="preserve"> left heart, </w:t>
      </w:r>
      <w:proofErr w:type="spellStart"/>
      <w:r w:rsidRPr="00CE66BE">
        <w:rPr>
          <w:rFonts w:cstheme="minorHAnsi"/>
          <w:sz w:val="18"/>
          <w:szCs w:val="18"/>
          <w:lang w:val="en-GB"/>
        </w:rPr>
        <w:t>coarctation</w:t>
      </w:r>
      <w:proofErr w:type="spellEnd"/>
      <w:r w:rsidRPr="00CE66BE">
        <w:rPr>
          <w:rFonts w:cstheme="minorHAnsi"/>
          <w:sz w:val="18"/>
          <w:szCs w:val="18"/>
          <w:lang w:val="en-GB"/>
        </w:rPr>
        <w:t xml:space="preserve"> of aorta, aortic atresia/interrupted aortic arch, total anomalous pulmonary venous return </w:t>
      </w:r>
    </w:p>
    <w:p w14:paraId="55295638" w14:textId="77777777" w:rsidR="008C5AF1" w:rsidRDefault="008C5AF1" w:rsidP="008C5AF1">
      <w:pPr>
        <w:spacing w:after="60" w:line="240" w:lineRule="auto"/>
        <w:rPr>
          <w:sz w:val="20"/>
          <w:szCs w:val="20"/>
          <w:lang w:val="en-GB"/>
        </w:rPr>
      </w:pPr>
    </w:p>
    <w:p w14:paraId="2DDD85ED" w14:textId="77777777" w:rsidR="008C5AF1" w:rsidRDefault="008C5AF1" w:rsidP="008C5AF1">
      <w:pPr>
        <w:spacing w:after="60" w:line="240" w:lineRule="auto"/>
        <w:rPr>
          <w:sz w:val="20"/>
          <w:szCs w:val="20"/>
          <w:lang w:val="en-GB"/>
        </w:rPr>
      </w:pPr>
    </w:p>
    <w:p w14:paraId="266797F0" w14:textId="77777777" w:rsidR="008C5AF1" w:rsidRDefault="008C5AF1" w:rsidP="008C5AF1">
      <w:pPr>
        <w:rPr>
          <w:sz w:val="20"/>
          <w:szCs w:val="20"/>
          <w:lang w:val="en-GB"/>
        </w:rPr>
      </w:pPr>
      <w:r>
        <w:rPr>
          <w:sz w:val="20"/>
          <w:szCs w:val="20"/>
          <w:lang w:val="en-GB"/>
        </w:rPr>
        <w:br w:type="page"/>
      </w:r>
    </w:p>
    <w:p w14:paraId="6F3C868F" w14:textId="41B50CD2" w:rsidR="008C5AF1" w:rsidRPr="00CE66BE" w:rsidRDefault="008C5AF1" w:rsidP="008C5AF1">
      <w:pPr>
        <w:spacing w:after="60" w:line="240" w:lineRule="auto"/>
        <w:rPr>
          <w:rFonts w:cstheme="minorHAnsi"/>
          <w:lang w:val="en-GB"/>
        </w:rPr>
      </w:pPr>
      <w:r w:rsidRPr="00CE66BE">
        <w:rPr>
          <w:rFonts w:cstheme="minorHAnsi"/>
          <w:b/>
          <w:lang w:val="en-GB"/>
        </w:rPr>
        <w:lastRenderedPageBreak/>
        <w:t>Fig</w:t>
      </w:r>
      <w:r w:rsidR="00A13C64">
        <w:rPr>
          <w:rFonts w:cstheme="minorHAnsi"/>
          <w:b/>
          <w:lang w:val="en-GB"/>
        </w:rPr>
        <w:t>ure S</w:t>
      </w:r>
      <w:r w:rsidRPr="00CE66BE">
        <w:rPr>
          <w:rFonts w:cstheme="minorHAnsi"/>
          <w:b/>
          <w:lang w:val="en-GB"/>
        </w:rPr>
        <w:t>2</w:t>
      </w:r>
      <w:r w:rsidRPr="00CE66BE">
        <w:rPr>
          <w:rFonts w:cstheme="minorHAnsi"/>
          <w:lang w:val="en-GB"/>
        </w:rPr>
        <w:t xml:space="preserve"> Kaplan-Meier survival estimates with 95% Confidence Intervals at 5 years of age by registry (birth year period: 2005-2014)). </w:t>
      </w:r>
      <w:proofErr w:type="gramStart"/>
      <w:r w:rsidR="00A13C64">
        <w:rPr>
          <w:rFonts w:cstheme="minorHAnsi"/>
          <w:b/>
          <w:lang w:val="en-GB"/>
        </w:rPr>
        <w:t>A</w:t>
      </w:r>
      <w:proofErr w:type="gramEnd"/>
      <w:r w:rsidRPr="00CE66BE">
        <w:rPr>
          <w:rFonts w:cstheme="minorHAnsi"/>
          <w:b/>
          <w:lang w:val="en-GB"/>
        </w:rPr>
        <w:t xml:space="preserve"> </w:t>
      </w:r>
      <w:r w:rsidRPr="00CE66BE">
        <w:rPr>
          <w:rFonts w:cstheme="minorHAnsi"/>
          <w:lang w:val="en-GB"/>
        </w:rPr>
        <w:t xml:space="preserve">Isolated ‘Transposition of great vessels’, </w:t>
      </w:r>
      <w:r w:rsidR="00A13C64">
        <w:rPr>
          <w:rFonts w:cstheme="minorHAnsi"/>
          <w:b/>
          <w:lang w:val="en-GB"/>
        </w:rPr>
        <w:t>B</w:t>
      </w:r>
      <w:r w:rsidRPr="00CE66BE">
        <w:rPr>
          <w:rFonts w:cstheme="minorHAnsi"/>
          <w:b/>
          <w:lang w:val="en-GB"/>
        </w:rPr>
        <w:t xml:space="preserve"> </w:t>
      </w:r>
      <w:r w:rsidRPr="00CE66BE">
        <w:rPr>
          <w:rFonts w:cstheme="minorHAnsi"/>
          <w:lang w:val="en-GB"/>
        </w:rPr>
        <w:t>Isolated ‘Diaphragmatic hernia’.</w:t>
      </w:r>
    </w:p>
    <w:p w14:paraId="00031AE2" w14:textId="77777777" w:rsidR="008C5AF1" w:rsidRPr="00CE66BE" w:rsidRDefault="008C5AF1" w:rsidP="008C5AF1">
      <w:pPr>
        <w:spacing w:after="60" w:line="240" w:lineRule="auto"/>
        <w:rPr>
          <w:rFonts w:cstheme="minorHAnsi"/>
          <w:lang w:val="en-GB"/>
        </w:rPr>
      </w:pPr>
    </w:p>
    <w:p w14:paraId="122AF831" w14:textId="77777777" w:rsidR="008C5AF1" w:rsidRPr="00CE66BE" w:rsidRDefault="008C5AF1" w:rsidP="008C5AF1">
      <w:pPr>
        <w:spacing w:after="60" w:line="240" w:lineRule="auto"/>
        <w:rPr>
          <w:rFonts w:cstheme="minorHAnsi"/>
          <w:lang w:val="en-GB"/>
        </w:rPr>
      </w:pPr>
    </w:p>
    <w:p w14:paraId="15802A19" w14:textId="77777777" w:rsidR="008C5AF1" w:rsidRPr="00CE66BE" w:rsidRDefault="008C5AF1" w:rsidP="008C5AF1">
      <w:pPr>
        <w:spacing w:after="60" w:line="240" w:lineRule="auto"/>
        <w:rPr>
          <w:rFonts w:cstheme="minorHAnsi"/>
          <w:lang w:val="en-GB"/>
        </w:rPr>
      </w:pPr>
    </w:p>
    <w:p w14:paraId="70DBCE85" w14:textId="037531F1" w:rsidR="008C5AF1" w:rsidRPr="00CE66BE" w:rsidRDefault="008C5AF1" w:rsidP="008C5AF1">
      <w:pPr>
        <w:spacing w:after="60" w:line="240" w:lineRule="auto"/>
        <w:rPr>
          <w:rFonts w:cstheme="minorHAnsi"/>
          <w:lang w:val="en-GB"/>
        </w:rPr>
      </w:pPr>
    </w:p>
    <w:p w14:paraId="4209A1A0" w14:textId="4B88D639" w:rsidR="00E504ED" w:rsidRPr="00CE66BE" w:rsidRDefault="00E504ED" w:rsidP="008C5AF1">
      <w:pPr>
        <w:spacing w:after="60" w:line="240" w:lineRule="auto"/>
        <w:rPr>
          <w:rFonts w:cstheme="minorHAnsi"/>
          <w:lang w:val="en-GB"/>
        </w:rPr>
      </w:pPr>
    </w:p>
    <w:p w14:paraId="5B8F2804" w14:textId="77777777" w:rsidR="00E504ED" w:rsidRPr="00CE66BE" w:rsidRDefault="00E504ED" w:rsidP="008C5AF1">
      <w:pPr>
        <w:spacing w:after="60" w:line="240" w:lineRule="auto"/>
        <w:rPr>
          <w:rFonts w:cstheme="minorHAnsi"/>
          <w:lang w:val="en-GB"/>
        </w:rPr>
      </w:pPr>
    </w:p>
    <w:p w14:paraId="3B8EA6CF" w14:textId="77777777" w:rsidR="008C5AF1" w:rsidRPr="00CE66BE" w:rsidRDefault="008C5AF1" w:rsidP="008C5AF1">
      <w:pPr>
        <w:spacing w:after="60"/>
        <w:rPr>
          <w:rFonts w:cstheme="minorHAnsi"/>
          <w:sz w:val="18"/>
          <w:szCs w:val="18"/>
          <w:lang w:val="en-GB"/>
        </w:rPr>
      </w:pPr>
      <w:r w:rsidRPr="00CE66BE">
        <w:rPr>
          <w:rFonts w:cstheme="minorHAnsi"/>
          <w:sz w:val="18"/>
          <w:szCs w:val="18"/>
          <w:lang w:val="en-GB"/>
        </w:rPr>
        <w:t>* In Malta termination of pregnancy is illegal</w:t>
      </w:r>
    </w:p>
    <w:p w14:paraId="6AA23760" w14:textId="77777777" w:rsidR="008C5AF1" w:rsidRPr="00CE66BE" w:rsidRDefault="008C5AF1" w:rsidP="008C5AF1">
      <w:pPr>
        <w:spacing w:after="60"/>
        <w:rPr>
          <w:rFonts w:cstheme="minorHAnsi"/>
          <w:noProof/>
          <w:sz w:val="18"/>
          <w:szCs w:val="18"/>
          <w:lang w:val="en-GB" w:eastAsia="it-IT"/>
        </w:rPr>
      </w:pPr>
      <w:r w:rsidRPr="00CE66BE">
        <w:rPr>
          <w:rFonts w:cstheme="minorHAnsi"/>
          <w:noProof/>
          <w:sz w:val="18"/>
          <w:szCs w:val="18"/>
          <w:lang w:val="en-GB" w:eastAsia="it-IT"/>
        </w:rPr>
        <w:t>Data for Denmark: Funen could not be displayed due to small numbers.</w:t>
      </w:r>
    </w:p>
    <w:p w14:paraId="6C335875" w14:textId="77777777" w:rsidR="008C5AF1" w:rsidRPr="00DA01D4" w:rsidRDefault="008C5AF1" w:rsidP="008C5AF1">
      <w:pPr>
        <w:rPr>
          <w:sz w:val="20"/>
          <w:szCs w:val="20"/>
          <w:lang w:val="en-GB"/>
        </w:rPr>
      </w:pPr>
    </w:p>
    <w:p w14:paraId="08D560A4" w14:textId="77777777" w:rsidR="008C5AF1" w:rsidRPr="00AD2D11" w:rsidRDefault="008C5AF1" w:rsidP="008C5AF1">
      <w:pPr>
        <w:spacing w:after="60" w:line="240" w:lineRule="auto"/>
        <w:rPr>
          <w:rFonts w:ascii="Times New Roman" w:hAnsi="Times New Roman" w:cs="Times New Roman"/>
          <w:lang w:val="en-GB"/>
        </w:rPr>
      </w:pPr>
    </w:p>
    <w:p w14:paraId="7CE928D9" w14:textId="77777777" w:rsidR="008C5AF1" w:rsidRDefault="008C5AF1" w:rsidP="008C5AF1">
      <w:pPr>
        <w:rPr>
          <w:sz w:val="20"/>
          <w:szCs w:val="20"/>
          <w:lang w:val="en-GB"/>
        </w:rPr>
        <w:sectPr w:rsidR="008C5AF1" w:rsidSect="008C5AF1">
          <w:pgSz w:w="11906" w:h="16838"/>
          <w:pgMar w:top="1418" w:right="1134" w:bottom="1134" w:left="1134" w:header="709" w:footer="709" w:gutter="0"/>
          <w:cols w:space="708"/>
          <w:docGrid w:linePitch="360"/>
        </w:sectPr>
      </w:pPr>
    </w:p>
    <w:p w14:paraId="3934F842" w14:textId="7110118F" w:rsidR="008C5AF1" w:rsidRPr="00CE66BE" w:rsidRDefault="008C5AF1" w:rsidP="008C5AF1">
      <w:pPr>
        <w:rPr>
          <w:rFonts w:cstheme="minorHAnsi"/>
          <w:lang w:val="en-GB"/>
        </w:rPr>
      </w:pPr>
      <w:r w:rsidRPr="00CE66BE">
        <w:rPr>
          <w:rFonts w:cstheme="minorHAnsi"/>
          <w:b/>
          <w:lang w:val="en-GB"/>
        </w:rPr>
        <w:lastRenderedPageBreak/>
        <w:t>Fig</w:t>
      </w:r>
      <w:r w:rsidR="00A13C64">
        <w:rPr>
          <w:rFonts w:cstheme="minorHAnsi"/>
          <w:b/>
          <w:lang w:val="en-GB"/>
        </w:rPr>
        <w:t>ure S</w:t>
      </w:r>
      <w:r w:rsidRPr="00CE66BE">
        <w:rPr>
          <w:rFonts w:cstheme="minorHAnsi"/>
          <w:b/>
          <w:lang w:val="en-GB"/>
        </w:rPr>
        <w:t>3</w:t>
      </w:r>
      <w:r w:rsidRPr="00CE66BE">
        <w:rPr>
          <w:rFonts w:cstheme="minorHAnsi"/>
          <w:lang w:val="en-GB"/>
        </w:rPr>
        <w:t xml:space="preserve"> Kaplan-Meier survival estimates at 5 years of age conditional on having survived at 28 days with 95% Confidence Intervals, by registry (birth year period: 2005-2014). </w:t>
      </w:r>
      <w:proofErr w:type="gramStart"/>
      <w:r w:rsidR="00A13C64">
        <w:rPr>
          <w:rFonts w:cstheme="minorHAnsi"/>
          <w:b/>
          <w:lang w:val="en-GB"/>
        </w:rPr>
        <w:t>A</w:t>
      </w:r>
      <w:proofErr w:type="gramEnd"/>
      <w:r w:rsidRPr="00CE66BE">
        <w:rPr>
          <w:rFonts w:cstheme="minorHAnsi"/>
          <w:b/>
          <w:lang w:val="en-GB"/>
        </w:rPr>
        <w:t xml:space="preserve"> </w:t>
      </w:r>
      <w:r w:rsidRPr="00CE66BE">
        <w:rPr>
          <w:rFonts w:cstheme="minorHAnsi"/>
          <w:lang w:val="en-GB"/>
        </w:rPr>
        <w:t xml:space="preserve">‘All anomalies’, </w:t>
      </w:r>
      <w:r w:rsidR="00A13C64">
        <w:rPr>
          <w:rFonts w:cstheme="minorHAnsi"/>
          <w:b/>
          <w:lang w:val="en-GB"/>
        </w:rPr>
        <w:t>B</w:t>
      </w:r>
      <w:r w:rsidRPr="00CE66BE">
        <w:rPr>
          <w:rFonts w:cstheme="minorHAnsi"/>
          <w:b/>
          <w:lang w:val="en-GB"/>
        </w:rPr>
        <w:t xml:space="preserve"> </w:t>
      </w:r>
      <w:r w:rsidRPr="00CE66BE">
        <w:rPr>
          <w:rFonts w:cstheme="minorHAnsi"/>
          <w:lang w:val="en-GB"/>
        </w:rPr>
        <w:t>‘Severe congenital heart defects’</w:t>
      </w:r>
    </w:p>
    <w:p w14:paraId="4024D092" w14:textId="77777777" w:rsidR="008C5AF1" w:rsidRPr="00CE66BE" w:rsidRDefault="008C5AF1" w:rsidP="008C5AF1">
      <w:pPr>
        <w:spacing w:after="60" w:line="240" w:lineRule="auto"/>
        <w:rPr>
          <w:rFonts w:cstheme="minorHAnsi"/>
          <w:sz w:val="18"/>
          <w:szCs w:val="18"/>
          <w:lang w:val="en-GB"/>
        </w:rPr>
      </w:pPr>
    </w:p>
    <w:p w14:paraId="5F624DA6" w14:textId="1FD72A7F" w:rsidR="008C5AF1" w:rsidRPr="00CE66BE" w:rsidRDefault="008C5AF1" w:rsidP="008C5AF1">
      <w:pPr>
        <w:spacing w:after="60" w:line="240" w:lineRule="auto"/>
        <w:rPr>
          <w:rFonts w:cstheme="minorHAnsi"/>
          <w:sz w:val="18"/>
          <w:szCs w:val="18"/>
          <w:lang w:val="en-GB"/>
        </w:rPr>
      </w:pPr>
    </w:p>
    <w:p w14:paraId="1C861C0A" w14:textId="5FF385BD" w:rsidR="00E504ED" w:rsidRPr="00CE66BE" w:rsidRDefault="00E504ED" w:rsidP="008C5AF1">
      <w:pPr>
        <w:spacing w:after="60" w:line="240" w:lineRule="auto"/>
        <w:rPr>
          <w:rFonts w:cstheme="minorHAnsi"/>
          <w:sz w:val="18"/>
          <w:szCs w:val="18"/>
          <w:lang w:val="en-GB"/>
        </w:rPr>
      </w:pPr>
    </w:p>
    <w:p w14:paraId="1C5E7FF9" w14:textId="77777777" w:rsidR="00E504ED" w:rsidRPr="00CE66BE" w:rsidRDefault="00E504ED" w:rsidP="008C5AF1">
      <w:pPr>
        <w:spacing w:after="60" w:line="240" w:lineRule="auto"/>
        <w:rPr>
          <w:rFonts w:cstheme="minorHAnsi"/>
          <w:sz w:val="18"/>
          <w:szCs w:val="18"/>
          <w:lang w:val="en-GB"/>
        </w:rPr>
      </w:pPr>
    </w:p>
    <w:p w14:paraId="5949C6A0" w14:textId="77777777" w:rsidR="008C5AF1" w:rsidRPr="00CE66BE" w:rsidRDefault="008C5AF1" w:rsidP="008C5AF1">
      <w:pPr>
        <w:spacing w:after="60" w:line="240" w:lineRule="auto"/>
        <w:rPr>
          <w:rFonts w:cstheme="minorHAnsi"/>
          <w:sz w:val="18"/>
          <w:szCs w:val="18"/>
          <w:lang w:val="en-GB"/>
        </w:rPr>
      </w:pPr>
    </w:p>
    <w:p w14:paraId="7E55C27C" w14:textId="77777777" w:rsidR="008C5AF1" w:rsidRPr="00CE66BE" w:rsidRDefault="008C5AF1" w:rsidP="008C5AF1">
      <w:pPr>
        <w:spacing w:after="60" w:line="240" w:lineRule="auto"/>
        <w:rPr>
          <w:rFonts w:cstheme="minorHAnsi"/>
          <w:sz w:val="18"/>
          <w:szCs w:val="18"/>
          <w:lang w:val="en-GB"/>
        </w:rPr>
      </w:pPr>
    </w:p>
    <w:p w14:paraId="3B13117F" w14:textId="77777777" w:rsidR="008C5AF1" w:rsidRPr="00CE66BE" w:rsidRDefault="008C5AF1" w:rsidP="008C5AF1">
      <w:pPr>
        <w:spacing w:after="60" w:line="240" w:lineRule="auto"/>
        <w:rPr>
          <w:rFonts w:cstheme="minorHAnsi"/>
          <w:sz w:val="18"/>
          <w:szCs w:val="18"/>
          <w:lang w:val="en-GB"/>
        </w:rPr>
      </w:pPr>
      <w:r w:rsidRPr="00CE66BE">
        <w:rPr>
          <w:rFonts w:cstheme="minorHAnsi"/>
          <w:sz w:val="18"/>
          <w:szCs w:val="18"/>
          <w:lang w:val="en-GB"/>
        </w:rPr>
        <w:t>* In Malta termination of pregnancy is illegal</w:t>
      </w:r>
    </w:p>
    <w:p w14:paraId="6593181D" w14:textId="77777777" w:rsidR="008C5AF1" w:rsidRPr="00CE66BE" w:rsidRDefault="008C5AF1" w:rsidP="008C5AF1">
      <w:pPr>
        <w:spacing w:after="60" w:line="240" w:lineRule="auto"/>
        <w:rPr>
          <w:rFonts w:cstheme="minorHAnsi"/>
          <w:noProof/>
          <w:sz w:val="18"/>
          <w:szCs w:val="18"/>
          <w:lang w:val="en-GB" w:eastAsia="it-IT"/>
        </w:rPr>
      </w:pPr>
      <w:r w:rsidRPr="00CE66BE">
        <w:rPr>
          <w:rFonts w:cstheme="minorHAnsi"/>
          <w:noProof/>
          <w:sz w:val="18"/>
          <w:szCs w:val="18"/>
          <w:lang w:val="en-GB" w:eastAsia="it-IT"/>
        </w:rPr>
        <w:t>Data of ‘Severe congenital heart defects’ for Denmark: Funen could not be displayed due to small numbers</w:t>
      </w:r>
    </w:p>
    <w:p w14:paraId="57110EB7" w14:textId="77777777" w:rsidR="008C5AF1" w:rsidRDefault="008C5AF1" w:rsidP="008C5AF1">
      <w:pPr>
        <w:spacing w:after="60" w:line="240" w:lineRule="auto"/>
        <w:rPr>
          <w:sz w:val="20"/>
          <w:szCs w:val="20"/>
          <w:lang w:val="en-GB"/>
        </w:rPr>
      </w:pPr>
    </w:p>
    <w:p w14:paraId="446E57D3" w14:textId="77777777" w:rsidR="008C5AF1" w:rsidRPr="009D7D64" w:rsidRDefault="008C5AF1" w:rsidP="008C5AF1">
      <w:pPr>
        <w:spacing w:after="60" w:line="240" w:lineRule="auto"/>
        <w:rPr>
          <w:sz w:val="20"/>
          <w:szCs w:val="20"/>
          <w:lang w:val="en-GB"/>
        </w:rPr>
      </w:pPr>
    </w:p>
    <w:p w14:paraId="582C0F38" w14:textId="77777777" w:rsidR="008C5AF1" w:rsidRDefault="008C5AF1" w:rsidP="008C5AF1">
      <w:pPr>
        <w:rPr>
          <w:sz w:val="20"/>
          <w:szCs w:val="20"/>
          <w:lang w:val="en-GB"/>
        </w:rPr>
      </w:pPr>
      <w:r>
        <w:rPr>
          <w:sz w:val="20"/>
          <w:szCs w:val="20"/>
          <w:lang w:val="en-GB"/>
        </w:rPr>
        <w:br w:type="page"/>
      </w:r>
    </w:p>
    <w:p w14:paraId="2D50C1D1" w14:textId="77777777" w:rsidR="008C5AF1" w:rsidRDefault="008C5AF1" w:rsidP="008C5AF1">
      <w:pPr>
        <w:rPr>
          <w:sz w:val="20"/>
          <w:szCs w:val="20"/>
          <w:lang w:val="en-GB"/>
        </w:rPr>
        <w:sectPr w:rsidR="008C5AF1" w:rsidSect="008C5AF1">
          <w:pgSz w:w="11906" w:h="16838"/>
          <w:pgMar w:top="1418" w:right="1134" w:bottom="1134" w:left="1134" w:header="709" w:footer="709" w:gutter="0"/>
          <w:cols w:space="708"/>
          <w:docGrid w:linePitch="360"/>
        </w:sectPr>
      </w:pPr>
    </w:p>
    <w:p w14:paraId="18973DB7" w14:textId="5AF0E60E" w:rsidR="00A13C64" w:rsidRPr="00CE66BE" w:rsidRDefault="008C5AF1" w:rsidP="00A13C64">
      <w:pPr>
        <w:spacing w:after="0"/>
        <w:jc w:val="both"/>
        <w:rPr>
          <w:rFonts w:cstheme="minorHAnsi"/>
          <w:lang w:val="en-GB"/>
        </w:rPr>
      </w:pPr>
      <w:r w:rsidRPr="00CE66BE">
        <w:rPr>
          <w:rFonts w:cstheme="minorHAnsi"/>
          <w:b/>
          <w:lang w:val="en-GB"/>
        </w:rPr>
        <w:lastRenderedPageBreak/>
        <w:t>Fig</w:t>
      </w:r>
      <w:r w:rsidR="00A13C64">
        <w:rPr>
          <w:rFonts w:cstheme="minorHAnsi"/>
          <w:b/>
          <w:lang w:val="en-GB"/>
        </w:rPr>
        <w:t>ure S</w:t>
      </w:r>
      <w:r w:rsidRPr="00CE66BE">
        <w:rPr>
          <w:rFonts w:cstheme="minorHAnsi"/>
          <w:b/>
          <w:lang w:val="en-GB"/>
        </w:rPr>
        <w:t>4</w:t>
      </w:r>
      <w:r w:rsidRPr="00CE66BE">
        <w:rPr>
          <w:rFonts w:cstheme="minorHAnsi"/>
          <w:lang w:val="en-GB"/>
        </w:rPr>
        <w:t xml:space="preserve"> </w:t>
      </w:r>
      <w:r w:rsidR="00A13C64">
        <w:rPr>
          <w:rFonts w:cstheme="minorHAnsi"/>
          <w:lang w:val="en-GB"/>
        </w:rPr>
        <w:t xml:space="preserve">Ratio of </w:t>
      </w:r>
      <w:r w:rsidR="006A4824" w:rsidRPr="006A4824">
        <w:rPr>
          <w:rFonts w:cstheme="minorHAnsi"/>
          <w:lang w:val="en-GB"/>
        </w:rPr>
        <w:t xml:space="preserve">termination of pregnancy for </w:t>
      </w:r>
      <w:proofErr w:type="spellStart"/>
      <w:r w:rsidR="006A4824" w:rsidRPr="006A4824">
        <w:rPr>
          <w:rFonts w:cstheme="minorHAnsi"/>
          <w:lang w:val="en-GB"/>
        </w:rPr>
        <w:t>fetal</w:t>
      </w:r>
      <w:proofErr w:type="spellEnd"/>
      <w:r w:rsidR="006A4824" w:rsidRPr="006A4824">
        <w:rPr>
          <w:rFonts w:cstheme="minorHAnsi"/>
          <w:lang w:val="en-GB"/>
        </w:rPr>
        <w:t xml:space="preserve"> anomalies (TOPFA)</w:t>
      </w:r>
      <w:r w:rsidR="00A13C64">
        <w:rPr>
          <w:rFonts w:cstheme="minorHAnsi"/>
          <w:lang w:val="en-GB"/>
        </w:rPr>
        <w:t xml:space="preserve"> prevalence (2005-2014 vs. 1995-2004) </w:t>
      </w:r>
      <w:r w:rsidRPr="00CE66BE">
        <w:rPr>
          <w:rFonts w:cstheme="minorHAnsi"/>
          <w:lang w:val="en-GB"/>
        </w:rPr>
        <w:t>compared with</w:t>
      </w:r>
      <w:r w:rsidR="00A13C64">
        <w:rPr>
          <w:rFonts w:cstheme="minorHAnsi"/>
          <w:lang w:val="en-GB"/>
        </w:rPr>
        <w:t xml:space="preserve"> </w:t>
      </w:r>
      <w:r w:rsidR="00A13C64" w:rsidRPr="00CE66BE">
        <w:rPr>
          <w:rFonts w:cstheme="minorHAnsi"/>
          <w:lang w:val="en-GB"/>
        </w:rPr>
        <w:t>Hazard Ratios (HR) with 95% Confidence Intervals (CI) for risk of infant death (&lt;1 year) for ‘All anomalies’</w:t>
      </w:r>
      <w:r w:rsidR="006A4824">
        <w:rPr>
          <w:rFonts w:cstheme="minorHAnsi"/>
          <w:lang w:val="en-GB"/>
        </w:rPr>
        <w:t xml:space="preserve"> (2005-2014 vs. 1995-2004), </w:t>
      </w:r>
      <w:r w:rsidR="00A13C64" w:rsidRPr="00CE66BE">
        <w:rPr>
          <w:rFonts w:cstheme="minorHAnsi"/>
          <w:lang w:val="en-GB"/>
        </w:rPr>
        <w:t>by registry.</w:t>
      </w:r>
    </w:p>
    <w:p w14:paraId="3B203181" w14:textId="1B0E7287" w:rsidR="008C5AF1" w:rsidRDefault="008C5AF1" w:rsidP="008C5AF1">
      <w:pPr>
        <w:spacing w:after="60" w:line="240" w:lineRule="auto"/>
        <w:rPr>
          <w:rFonts w:cstheme="minorHAnsi"/>
          <w:lang w:val="en-GB"/>
        </w:rPr>
      </w:pPr>
    </w:p>
    <w:p w14:paraId="144C566C" w14:textId="38243285" w:rsidR="006A4824" w:rsidRDefault="006A4824" w:rsidP="008C5AF1">
      <w:pPr>
        <w:spacing w:after="60" w:line="240" w:lineRule="auto"/>
        <w:rPr>
          <w:rFonts w:cstheme="minorHAnsi"/>
          <w:lang w:val="en-GB"/>
        </w:rPr>
      </w:pPr>
    </w:p>
    <w:p w14:paraId="5FB2DEAC" w14:textId="77777777" w:rsidR="006A4824" w:rsidRDefault="006A4824" w:rsidP="008C5AF1">
      <w:pPr>
        <w:spacing w:after="60" w:line="240" w:lineRule="auto"/>
        <w:rPr>
          <w:rFonts w:cstheme="minorHAnsi"/>
          <w:lang w:val="en-GB"/>
        </w:rPr>
      </w:pPr>
    </w:p>
    <w:p w14:paraId="34FBC6F2" w14:textId="77777777" w:rsidR="006A4824" w:rsidRPr="00CE66BE" w:rsidRDefault="006A4824" w:rsidP="008C5AF1">
      <w:pPr>
        <w:spacing w:after="60" w:line="240" w:lineRule="auto"/>
        <w:rPr>
          <w:rFonts w:cstheme="minorHAnsi"/>
          <w:lang w:val="en-GB"/>
        </w:rPr>
      </w:pPr>
    </w:p>
    <w:p w14:paraId="6E60EFE1" w14:textId="48EEB899" w:rsidR="006A4824" w:rsidRPr="00E76091" w:rsidRDefault="006A4824" w:rsidP="006A4824">
      <w:pPr>
        <w:spacing w:after="0" w:line="240" w:lineRule="auto"/>
        <w:rPr>
          <w:rFonts w:cstheme="minorHAnsi"/>
          <w:sz w:val="18"/>
          <w:szCs w:val="18"/>
          <w:lang w:val="en-GB"/>
        </w:rPr>
      </w:pPr>
      <w:r w:rsidRPr="00E76091">
        <w:rPr>
          <w:rFonts w:cstheme="minorHAnsi"/>
          <w:sz w:val="18"/>
          <w:szCs w:val="18"/>
          <w:lang w:val="en-GB"/>
        </w:rPr>
        <w:t xml:space="preserve">Only registries with data available for 1995-2014 were included in this </w:t>
      </w:r>
      <w:r>
        <w:rPr>
          <w:rFonts w:cstheme="minorHAnsi"/>
          <w:sz w:val="18"/>
          <w:szCs w:val="18"/>
          <w:lang w:val="en-GB"/>
        </w:rPr>
        <w:t>figure</w:t>
      </w:r>
      <w:r w:rsidRPr="00E76091">
        <w:rPr>
          <w:rFonts w:cstheme="minorHAnsi"/>
          <w:sz w:val="18"/>
          <w:szCs w:val="18"/>
          <w:lang w:val="en-GB"/>
        </w:rPr>
        <w:t>.</w:t>
      </w:r>
    </w:p>
    <w:p w14:paraId="5D17F688" w14:textId="77777777" w:rsidR="008C5AF1" w:rsidRPr="00CE66BE" w:rsidRDefault="008C5AF1" w:rsidP="008C5AF1">
      <w:pPr>
        <w:spacing w:after="60" w:line="240" w:lineRule="auto"/>
        <w:rPr>
          <w:rFonts w:cstheme="minorHAnsi"/>
          <w:lang w:val="en-GB"/>
        </w:rPr>
      </w:pPr>
    </w:p>
    <w:p w14:paraId="7B59A2FC" w14:textId="590325CB" w:rsidR="008C5AF1" w:rsidRPr="00CE66BE" w:rsidRDefault="008C5AF1" w:rsidP="008C5AF1">
      <w:pPr>
        <w:spacing w:after="60" w:line="240" w:lineRule="auto"/>
        <w:rPr>
          <w:rFonts w:cstheme="minorHAnsi"/>
          <w:lang w:val="en-GB"/>
        </w:rPr>
      </w:pPr>
    </w:p>
    <w:p w14:paraId="68CDC1E6" w14:textId="52CB2397" w:rsidR="00E504ED" w:rsidRPr="00CE66BE" w:rsidRDefault="00E504ED" w:rsidP="008C5AF1">
      <w:pPr>
        <w:spacing w:after="60" w:line="240" w:lineRule="auto"/>
        <w:rPr>
          <w:rFonts w:cstheme="minorHAnsi"/>
          <w:lang w:val="en-GB"/>
        </w:rPr>
      </w:pPr>
    </w:p>
    <w:p w14:paraId="56214241" w14:textId="7B2CDF78" w:rsidR="00E504ED" w:rsidRPr="00CE66BE" w:rsidRDefault="00E504ED" w:rsidP="008C5AF1">
      <w:pPr>
        <w:spacing w:after="60" w:line="240" w:lineRule="auto"/>
        <w:rPr>
          <w:rFonts w:cstheme="minorHAnsi"/>
          <w:lang w:val="en-GB"/>
        </w:rPr>
      </w:pPr>
    </w:p>
    <w:p w14:paraId="0385EFD0" w14:textId="77777777" w:rsidR="00E504ED" w:rsidRPr="00CE66BE" w:rsidRDefault="00E504ED" w:rsidP="008C5AF1">
      <w:pPr>
        <w:spacing w:after="60" w:line="240" w:lineRule="auto"/>
        <w:rPr>
          <w:rFonts w:cstheme="minorHAnsi"/>
          <w:lang w:val="en-GB"/>
        </w:rPr>
      </w:pPr>
    </w:p>
    <w:p w14:paraId="2E542C31" w14:textId="77777777" w:rsidR="008C5AF1" w:rsidRPr="00D36888" w:rsidRDefault="008C5AF1" w:rsidP="008C5AF1">
      <w:pPr>
        <w:spacing w:after="60" w:line="240" w:lineRule="auto"/>
        <w:rPr>
          <w:rFonts w:ascii="Times New Roman" w:hAnsi="Times New Roman" w:cs="Times New Roman"/>
          <w:sz w:val="18"/>
          <w:szCs w:val="18"/>
          <w:lang w:val="en-GB"/>
        </w:rPr>
      </w:pPr>
    </w:p>
    <w:p w14:paraId="4034B3C8" w14:textId="38DADA78" w:rsidR="008C5AF1" w:rsidRPr="00D36888" w:rsidRDefault="008C5AF1" w:rsidP="008C5AF1">
      <w:pPr>
        <w:rPr>
          <w:rFonts w:ascii="Times New Roman" w:hAnsi="Times New Roman" w:cs="Times New Roman"/>
          <w:b/>
          <w:lang w:val="en-GB"/>
        </w:rPr>
      </w:pPr>
    </w:p>
    <w:sectPr w:rsidR="008C5AF1" w:rsidRPr="00D36888" w:rsidSect="008C5AF1">
      <w:headerReference w:type="default" r:id="rId10"/>
      <w:footerReference w:type="default" r:id="rId11"/>
      <w:type w:val="continuous"/>
      <w:pgSz w:w="11906" w:h="16838"/>
      <w:pgMar w:top="1418" w:right="1134" w:bottom="1134" w:left="113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30172" w16cex:dateUtc="2022-03-09T09:56:00Z"/>
  <w16cex:commentExtensible w16cex:durableId="25D30173" w16cex:dateUtc="2022-03-08T09:55:00Z"/>
  <w16cex:commentExtensible w16cex:durableId="25D46507" w16cex:dateUtc="2022-03-08T09:47:00Z"/>
  <w16cex:commentExtensible w16cex:durableId="25D30174" w16cex:dateUtc="2022-03-08T09:47:00Z"/>
  <w16cex:commentExtensible w16cex:durableId="25D57FBF" w16cex:dateUtc="2022-03-11T07:58:00Z"/>
  <w16cex:commentExtensible w16cex:durableId="25D5805B" w16cex:dateUtc="2022-03-08T09:13:00Z"/>
  <w16cex:commentExtensible w16cex:durableId="25D30175" w16cex:dateUtc="2022-03-08T09:13:00Z"/>
  <w16cex:commentExtensible w16cex:durableId="25D30176" w16cex:dateUtc="2022-03-08T19:13:00Z"/>
  <w16cex:commentExtensible w16cex:durableId="25D58B90" w16cex:dateUtc="2022-03-11T08:49:00Z"/>
  <w16cex:commentExtensible w16cex:durableId="25D30179" w16cex:dateUtc="2022-03-08T19:15:00Z"/>
  <w16cex:commentExtensible w16cex:durableId="25D473D2" w16cex:dateUtc="2022-03-10T12:55:00Z"/>
  <w16cex:commentExtensible w16cex:durableId="25D305D3" w16cex:dateUtc="2022-03-09T10: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B962F09" w16cid:durableId="25D30172"/>
  <w16cid:commentId w16cid:paraId="0649457B" w16cid:durableId="25D30173"/>
  <w16cid:commentId w16cid:paraId="57D91E17" w16cid:durableId="25D46507"/>
  <w16cid:commentId w16cid:paraId="1CA9635F" w16cid:durableId="25D30174"/>
  <w16cid:commentId w16cid:paraId="264D8AF4" w16cid:durableId="25D57FBF"/>
  <w16cid:commentId w16cid:paraId="7D90E577" w16cid:durableId="25D5805B"/>
  <w16cid:commentId w16cid:paraId="1CD26619" w16cid:durableId="25D30175"/>
  <w16cid:commentId w16cid:paraId="6A1F436F" w16cid:durableId="25D30176"/>
  <w16cid:commentId w16cid:paraId="2418265C" w16cid:durableId="25D58B90"/>
  <w16cid:commentId w16cid:paraId="40F93052" w16cid:durableId="25D30179"/>
  <w16cid:commentId w16cid:paraId="475C67E6" w16cid:durableId="25D473D2"/>
  <w16cid:commentId w16cid:paraId="47A221F4" w16cid:durableId="25D305D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071328" w14:textId="77777777" w:rsidR="00B62E3C" w:rsidRDefault="00B62E3C" w:rsidP="005724AB">
      <w:pPr>
        <w:spacing w:after="0" w:line="240" w:lineRule="auto"/>
      </w:pPr>
      <w:r>
        <w:separator/>
      </w:r>
    </w:p>
  </w:endnote>
  <w:endnote w:type="continuationSeparator" w:id="0">
    <w:p w14:paraId="55B3AC19" w14:textId="77777777" w:rsidR="00B62E3C" w:rsidRDefault="00B62E3C" w:rsidP="005724AB">
      <w:pPr>
        <w:spacing w:after="0" w:line="240" w:lineRule="auto"/>
      </w:pPr>
      <w:r>
        <w:continuationSeparator/>
      </w:r>
    </w:p>
  </w:endnote>
  <w:endnote w:type="continuationNotice" w:id="1">
    <w:p w14:paraId="2DBDF1EA" w14:textId="77777777" w:rsidR="00B62E3C" w:rsidRDefault="00B62E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8709107"/>
      <w:docPartObj>
        <w:docPartGallery w:val="Page Numbers (Bottom of Page)"/>
        <w:docPartUnique/>
      </w:docPartObj>
    </w:sdtPr>
    <w:sdtEndPr/>
    <w:sdtContent>
      <w:p w14:paraId="7B134610" w14:textId="01D67DB1" w:rsidR="00162987" w:rsidRDefault="00162987">
        <w:pPr>
          <w:pStyle w:val="Pidipagina"/>
          <w:jc w:val="right"/>
        </w:pPr>
        <w:r>
          <w:fldChar w:fldCharType="begin"/>
        </w:r>
        <w:r>
          <w:instrText>PAGE   \* MERGEFORMAT</w:instrText>
        </w:r>
        <w:r>
          <w:fldChar w:fldCharType="separate"/>
        </w:r>
        <w:r w:rsidR="00332500">
          <w:rPr>
            <w:noProof/>
          </w:rPr>
          <w:t>1</w:t>
        </w:r>
        <w:r>
          <w:fldChar w:fldCharType="end"/>
        </w:r>
      </w:p>
    </w:sdtContent>
  </w:sdt>
  <w:p w14:paraId="2D73CE2C" w14:textId="77777777" w:rsidR="00162987" w:rsidRDefault="0016298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4719509"/>
      <w:docPartObj>
        <w:docPartGallery w:val="Page Numbers (Bottom of Page)"/>
        <w:docPartUnique/>
      </w:docPartObj>
    </w:sdtPr>
    <w:sdtEndPr/>
    <w:sdtContent>
      <w:p w14:paraId="4A0F6544" w14:textId="29036B4F" w:rsidR="00162987" w:rsidRDefault="00162987">
        <w:pPr>
          <w:pStyle w:val="Pidipagina"/>
          <w:jc w:val="right"/>
        </w:pPr>
        <w:r>
          <w:fldChar w:fldCharType="begin"/>
        </w:r>
        <w:r>
          <w:instrText>PAGE   \* MERGEFORMAT</w:instrText>
        </w:r>
        <w:r>
          <w:fldChar w:fldCharType="separate"/>
        </w:r>
        <w:r w:rsidR="00332500">
          <w:rPr>
            <w:noProof/>
          </w:rPr>
          <w:t>34</w:t>
        </w:r>
        <w:r>
          <w:fldChar w:fldCharType="end"/>
        </w:r>
      </w:p>
    </w:sdtContent>
  </w:sdt>
  <w:p w14:paraId="4BACB2A0" w14:textId="77777777" w:rsidR="00162987" w:rsidRDefault="0016298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06E3CD" w14:textId="77777777" w:rsidR="00B62E3C" w:rsidRDefault="00B62E3C" w:rsidP="005724AB">
      <w:pPr>
        <w:spacing w:after="0" w:line="240" w:lineRule="auto"/>
      </w:pPr>
      <w:r>
        <w:separator/>
      </w:r>
    </w:p>
  </w:footnote>
  <w:footnote w:type="continuationSeparator" w:id="0">
    <w:p w14:paraId="16CB235F" w14:textId="77777777" w:rsidR="00B62E3C" w:rsidRDefault="00B62E3C" w:rsidP="005724AB">
      <w:pPr>
        <w:spacing w:after="0" w:line="240" w:lineRule="auto"/>
      </w:pPr>
      <w:r>
        <w:continuationSeparator/>
      </w:r>
    </w:p>
  </w:footnote>
  <w:footnote w:type="continuationNotice" w:id="1">
    <w:p w14:paraId="6DB715FF" w14:textId="77777777" w:rsidR="00B62E3C" w:rsidRDefault="00B62E3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872FA" w14:textId="77777777" w:rsidR="00162987" w:rsidRDefault="0016298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15C44"/>
    <w:multiLevelType w:val="hybridMultilevel"/>
    <w:tmpl w:val="742AEF16"/>
    <w:lvl w:ilvl="0" w:tplc="9942E226">
      <w:numFmt w:val="bullet"/>
      <w:lvlText w:val="•"/>
      <w:lvlJc w:val="left"/>
      <w:pPr>
        <w:ind w:left="1070" w:hanging="71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1B33666"/>
    <w:multiLevelType w:val="hybridMultilevel"/>
    <w:tmpl w:val="B4BE65D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50C169B"/>
    <w:multiLevelType w:val="hybridMultilevel"/>
    <w:tmpl w:val="EF9A965A"/>
    <w:lvl w:ilvl="0" w:tplc="04100003">
      <w:start w:val="1"/>
      <w:numFmt w:val="bullet"/>
      <w:lvlText w:val="o"/>
      <w:lvlJc w:val="left"/>
      <w:pPr>
        <w:ind w:left="770" w:hanging="360"/>
      </w:pPr>
      <w:rPr>
        <w:rFonts w:ascii="Courier New" w:hAnsi="Courier New" w:cs="Courier New" w:hint="default"/>
      </w:rPr>
    </w:lvl>
    <w:lvl w:ilvl="1" w:tplc="04100003" w:tentative="1">
      <w:start w:val="1"/>
      <w:numFmt w:val="bullet"/>
      <w:lvlText w:val="o"/>
      <w:lvlJc w:val="left"/>
      <w:pPr>
        <w:ind w:left="1490" w:hanging="360"/>
      </w:pPr>
      <w:rPr>
        <w:rFonts w:ascii="Courier New" w:hAnsi="Courier New" w:cs="Courier New" w:hint="default"/>
      </w:rPr>
    </w:lvl>
    <w:lvl w:ilvl="2" w:tplc="04100005" w:tentative="1">
      <w:start w:val="1"/>
      <w:numFmt w:val="bullet"/>
      <w:lvlText w:val=""/>
      <w:lvlJc w:val="left"/>
      <w:pPr>
        <w:ind w:left="2210" w:hanging="360"/>
      </w:pPr>
      <w:rPr>
        <w:rFonts w:ascii="Wingdings" w:hAnsi="Wingdings" w:hint="default"/>
      </w:rPr>
    </w:lvl>
    <w:lvl w:ilvl="3" w:tplc="04100001" w:tentative="1">
      <w:start w:val="1"/>
      <w:numFmt w:val="bullet"/>
      <w:lvlText w:val=""/>
      <w:lvlJc w:val="left"/>
      <w:pPr>
        <w:ind w:left="2930" w:hanging="360"/>
      </w:pPr>
      <w:rPr>
        <w:rFonts w:ascii="Symbol" w:hAnsi="Symbol" w:hint="default"/>
      </w:rPr>
    </w:lvl>
    <w:lvl w:ilvl="4" w:tplc="04100003" w:tentative="1">
      <w:start w:val="1"/>
      <w:numFmt w:val="bullet"/>
      <w:lvlText w:val="o"/>
      <w:lvlJc w:val="left"/>
      <w:pPr>
        <w:ind w:left="3650" w:hanging="360"/>
      </w:pPr>
      <w:rPr>
        <w:rFonts w:ascii="Courier New" w:hAnsi="Courier New" w:cs="Courier New" w:hint="default"/>
      </w:rPr>
    </w:lvl>
    <w:lvl w:ilvl="5" w:tplc="04100005" w:tentative="1">
      <w:start w:val="1"/>
      <w:numFmt w:val="bullet"/>
      <w:lvlText w:val=""/>
      <w:lvlJc w:val="left"/>
      <w:pPr>
        <w:ind w:left="4370" w:hanging="360"/>
      </w:pPr>
      <w:rPr>
        <w:rFonts w:ascii="Wingdings" w:hAnsi="Wingdings" w:hint="default"/>
      </w:rPr>
    </w:lvl>
    <w:lvl w:ilvl="6" w:tplc="04100001" w:tentative="1">
      <w:start w:val="1"/>
      <w:numFmt w:val="bullet"/>
      <w:lvlText w:val=""/>
      <w:lvlJc w:val="left"/>
      <w:pPr>
        <w:ind w:left="5090" w:hanging="360"/>
      </w:pPr>
      <w:rPr>
        <w:rFonts w:ascii="Symbol" w:hAnsi="Symbol" w:hint="default"/>
      </w:rPr>
    </w:lvl>
    <w:lvl w:ilvl="7" w:tplc="04100003" w:tentative="1">
      <w:start w:val="1"/>
      <w:numFmt w:val="bullet"/>
      <w:lvlText w:val="o"/>
      <w:lvlJc w:val="left"/>
      <w:pPr>
        <w:ind w:left="5810" w:hanging="360"/>
      </w:pPr>
      <w:rPr>
        <w:rFonts w:ascii="Courier New" w:hAnsi="Courier New" w:cs="Courier New" w:hint="default"/>
      </w:rPr>
    </w:lvl>
    <w:lvl w:ilvl="8" w:tplc="04100005" w:tentative="1">
      <w:start w:val="1"/>
      <w:numFmt w:val="bullet"/>
      <w:lvlText w:val=""/>
      <w:lvlJc w:val="left"/>
      <w:pPr>
        <w:ind w:left="6530" w:hanging="360"/>
      </w:pPr>
      <w:rPr>
        <w:rFonts w:ascii="Wingdings" w:hAnsi="Wingdings" w:hint="default"/>
      </w:rPr>
    </w:lvl>
  </w:abstractNum>
  <w:abstractNum w:abstractNumId="3" w15:restartNumberingAfterBreak="0">
    <w:nsid w:val="1BB65338"/>
    <w:multiLevelType w:val="hybridMultilevel"/>
    <w:tmpl w:val="DAE63BDC"/>
    <w:lvl w:ilvl="0" w:tplc="DFE6135E">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E07311A"/>
    <w:multiLevelType w:val="hybridMultilevel"/>
    <w:tmpl w:val="CA78E9CA"/>
    <w:lvl w:ilvl="0" w:tplc="AAC289D6">
      <w:start w:val="1"/>
      <w:numFmt w:val="bullet"/>
      <w:lvlText w:val=""/>
      <w:lvlJc w:val="left"/>
      <w:pPr>
        <w:tabs>
          <w:tab w:val="num" w:pos="720"/>
        </w:tabs>
        <w:ind w:left="720" w:hanging="360"/>
      </w:pPr>
      <w:rPr>
        <w:rFonts w:ascii="Wingdings" w:hAnsi="Wingdings" w:hint="default"/>
      </w:rPr>
    </w:lvl>
    <w:lvl w:ilvl="1" w:tplc="61F0C72E" w:tentative="1">
      <w:start w:val="1"/>
      <w:numFmt w:val="bullet"/>
      <w:lvlText w:val=""/>
      <w:lvlJc w:val="left"/>
      <w:pPr>
        <w:tabs>
          <w:tab w:val="num" w:pos="1440"/>
        </w:tabs>
        <w:ind w:left="1440" w:hanging="360"/>
      </w:pPr>
      <w:rPr>
        <w:rFonts w:ascii="Wingdings" w:hAnsi="Wingdings" w:hint="default"/>
      </w:rPr>
    </w:lvl>
    <w:lvl w:ilvl="2" w:tplc="A79212A2" w:tentative="1">
      <w:start w:val="1"/>
      <w:numFmt w:val="bullet"/>
      <w:lvlText w:val=""/>
      <w:lvlJc w:val="left"/>
      <w:pPr>
        <w:tabs>
          <w:tab w:val="num" w:pos="2160"/>
        </w:tabs>
        <w:ind w:left="2160" w:hanging="360"/>
      </w:pPr>
      <w:rPr>
        <w:rFonts w:ascii="Wingdings" w:hAnsi="Wingdings" w:hint="default"/>
      </w:rPr>
    </w:lvl>
    <w:lvl w:ilvl="3" w:tplc="3E88783E" w:tentative="1">
      <w:start w:val="1"/>
      <w:numFmt w:val="bullet"/>
      <w:lvlText w:val=""/>
      <w:lvlJc w:val="left"/>
      <w:pPr>
        <w:tabs>
          <w:tab w:val="num" w:pos="2880"/>
        </w:tabs>
        <w:ind w:left="2880" w:hanging="360"/>
      </w:pPr>
      <w:rPr>
        <w:rFonts w:ascii="Wingdings" w:hAnsi="Wingdings" w:hint="default"/>
      </w:rPr>
    </w:lvl>
    <w:lvl w:ilvl="4" w:tplc="75E8DF7A" w:tentative="1">
      <w:start w:val="1"/>
      <w:numFmt w:val="bullet"/>
      <w:lvlText w:val=""/>
      <w:lvlJc w:val="left"/>
      <w:pPr>
        <w:tabs>
          <w:tab w:val="num" w:pos="3600"/>
        </w:tabs>
        <w:ind w:left="3600" w:hanging="360"/>
      </w:pPr>
      <w:rPr>
        <w:rFonts w:ascii="Wingdings" w:hAnsi="Wingdings" w:hint="default"/>
      </w:rPr>
    </w:lvl>
    <w:lvl w:ilvl="5" w:tplc="D5F6E83A" w:tentative="1">
      <w:start w:val="1"/>
      <w:numFmt w:val="bullet"/>
      <w:lvlText w:val=""/>
      <w:lvlJc w:val="left"/>
      <w:pPr>
        <w:tabs>
          <w:tab w:val="num" w:pos="4320"/>
        </w:tabs>
        <w:ind w:left="4320" w:hanging="360"/>
      </w:pPr>
      <w:rPr>
        <w:rFonts w:ascii="Wingdings" w:hAnsi="Wingdings" w:hint="default"/>
      </w:rPr>
    </w:lvl>
    <w:lvl w:ilvl="6" w:tplc="C00AD80C" w:tentative="1">
      <w:start w:val="1"/>
      <w:numFmt w:val="bullet"/>
      <w:lvlText w:val=""/>
      <w:lvlJc w:val="left"/>
      <w:pPr>
        <w:tabs>
          <w:tab w:val="num" w:pos="5040"/>
        </w:tabs>
        <w:ind w:left="5040" w:hanging="360"/>
      </w:pPr>
      <w:rPr>
        <w:rFonts w:ascii="Wingdings" w:hAnsi="Wingdings" w:hint="default"/>
      </w:rPr>
    </w:lvl>
    <w:lvl w:ilvl="7" w:tplc="02469E0E" w:tentative="1">
      <w:start w:val="1"/>
      <w:numFmt w:val="bullet"/>
      <w:lvlText w:val=""/>
      <w:lvlJc w:val="left"/>
      <w:pPr>
        <w:tabs>
          <w:tab w:val="num" w:pos="5760"/>
        </w:tabs>
        <w:ind w:left="5760" w:hanging="360"/>
      </w:pPr>
      <w:rPr>
        <w:rFonts w:ascii="Wingdings" w:hAnsi="Wingdings" w:hint="default"/>
      </w:rPr>
    </w:lvl>
    <w:lvl w:ilvl="8" w:tplc="23FCD43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D344A1"/>
    <w:multiLevelType w:val="hybridMultilevel"/>
    <w:tmpl w:val="D42878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F773E05"/>
    <w:multiLevelType w:val="hybridMultilevel"/>
    <w:tmpl w:val="2DDEFD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3CC0890"/>
    <w:multiLevelType w:val="hybridMultilevel"/>
    <w:tmpl w:val="4A643632"/>
    <w:lvl w:ilvl="0" w:tplc="8A2C57EA">
      <w:start w:val="1"/>
      <w:numFmt w:val="bullet"/>
      <w:lvlText w:val=""/>
      <w:lvlJc w:val="left"/>
      <w:pPr>
        <w:tabs>
          <w:tab w:val="num" w:pos="720"/>
        </w:tabs>
        <w:ind w:left="720" w:hanging="360"/>
      </w:pPr>
      <w:rPr>
        <w:rFonts w:ascii="Wingdings" w:hAnsi="Wingdings" w:hint="default"/>
      </w:rPr>
    </w:lvl>
    <w:lvl w:ilvl="1" w:tplc="03124430" w:tentative="1">
      <w:start w:val="1"/>
      <w:numFmt w:val="bullet"/>
      <w:lvlText w:val=""/>
      <w:lvlJc w:val="left"/>
      <w:pPr>
        <w:tabs>
          <w:tab w:val="num" w:pos="1440"/>
        </w:tabs>
        <w:ind w:left="1440" w:hanging="360"/>
      </w:pPr>
      <w:rPr>
        <w:rFonts w:ascii="Wingdings" w:hAnsi="Wingdings" w:hint="default"/>
      </w:rPr>
    </w:lvl>
    <w:lvl w:ilvl="2" w:tplc="7940053C" w:tentative="1">
      <w:start w:val="1"/>
      <w:numFmt w:val="bullet"/>
      <w:lvlText w:val=""/>
      <w:lvlJc w:val="left"/>
      <w:pPr>
        <w:tabs>
          <w:tab w:val="num" w:pos="2160"/>
        </w:tabs>
        <w:ind w:left="2160" w:hanging="360"/>
      </w:pPr>
      <w:rPr>
        <w:rFonts w:ascii="Wingdings" w:hAnsi="Wingdings" w:hint="default"/>
      </w:rPr>
    </w:lvl>
    <w:lvl w:ilvl="3" w:tplc="3BB4C0C2" w:tentative="1">
      <w:start w:val="1"/>
      <w:numFmt w:val="bullet"/>
      <w:lvlText w:val=""/>
      <w:lvlJc w:val="left"/>
      <w:pPr>
        <w:tabs>
          <w:tab w:val="num" w:pos="2880"/>
        </w:tabs>
        <w:ind w:left="2880" w:hanging="360"/>
      </w:pPr>
      <w:rPr>
        <w:rFonts w:ascii="Wingdings" w:hAnsi="Wingdings" w:hint="default"/>
      </w:rPr>
    </w:lvl>
    <w:lvl w:ilvl="4" w:tplc="5DB8D0FE" w:tentative="1">
      <w:start w:val="1"/>
      <w:numFmt w:val="bullet"/>
      <w:lvlText w:val=""/>
      <w:lvlJc w:val="left"/>
      <w:pPr>
        <w:tabs>
          <w:tab w:val="num" w:pos="3600"/>
        </w:tabs>
        <w:ind w:left="3600" w:hanging="360"/>
      </w:pPr>
      <w:rPr>
        <w:rFonts w:ascii="Wingdings" w:hAnsi="Wingdings" w:hint="default"/>
      </w:rPr>
    </w:lvl>
    <w:lvl w:ilvl="5" w:tplc="6046D502" w:tentative="1">
      <w:start w:val="1"/>
      <w:numFmt w:val="bullet"/>
      <w:lvlText w:val=""/>
      <w:lvlJc w:val="left"/>
      <w:pPr>
        <w:tabs>
          <w:tab w:val="num" w:pos="4320"/>
        </w:tabs>
        <w:ind w:left="4320" w:hanging="360"/>
      </w:pPr>
      <w:rPr>
        <w:rFonts w:ascii="Wingdings" w:hAnsi="Wingdings" w:hint="default"/>
      </w:rPr>
    </w:lvl>
    <w:lvl w:ilvl="6" w:tplc="24C61954" w:tentative="1">
      <w:start w:val="1"/>
      <w:numFmt w:val="bullet"/>
      <w:lvlText w:val=""/>
      <w:lvlJc w:val="left"/>
      <w:pPr>
        <w:tabs>
          <w:tab w:val="num" w:pos="5040"/>
        </w:tabs>
        <w:ind w:left="5040" w:hanging="360"/>
      </w:pPr>
      <w:rPr>
        <w:rFonts w:ascii="Wingdings" w:hAnsi="Wingdings" w:hint="default"/>
      </w:rPr>
    </w:lvl>
    <w:lvl w:ilvl="7" w:tplc="112AB7AC" w:tentative="1">
      <w:start w:val="1"/>
      <w:numFmt w:val="bullet"/>
      <w:lvlText w:val=""/>
      <w:lvlJc w:val="left"/>
      <w:pPr>
        <w:tabs>
          <w:tab w:val="num" w:pos="5760"/>
        </w:tabs>
        <w:ind w:left="5760" w:hanging="360"/>
      </w:pPr>
      <w:rPr>
        <w:rFonts w:ascii="Wingdings" w:hAnsi="Wingdings" w:hint="default"/>
      </w:rPr>
    </w:lvl>
    <w:lvl w:ilvl="8" w:tplc="B0CC1D0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DB06EC7"/>
    <w:multiLevelType w:val="hybridMultilevel"/>
    <w:tmpl w:val="441E88D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FCE7BE0"/>
    <w:multiLevelType w:val="hybridMultilevel"/>
    <w:tmpl w:val="4492296C"/>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0" w15:restartNumberingAfterBreak="0">
    <w:nsid w:val="3FDB67B4"/>
    <w:multiLevelType w:val="hybridMultilevel"/>
    <w:tmpl w:val="5840F83C"/>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1" w15:restartNumberingAfterBreak="0">
    <w:nsid w:val="41813076"/>
    <w:multiLevelType w:val="hybridMultilevel"/>
    <w:tmpl w:val="E1923E6E"/>
    <w:lvl w:ilvl="0" w:tplc="8B1C3ED4">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8116B03"/>
    <w:multiLevelType w:val="hybridMultilevel"/>
    <w:tmpl w:val="1FB85C32"/>
    <w:lvl w:ilvl="0" w:tplc="04100001">
      <w:start w:val="1"/>
      <w:numFmt w:val="bullet"/>
      <w:lvlText w:val=""/>
      <w:lvlJc w:val="left"/>
      <w:pPr>
        <w:ind w:left="720" w:hanging="360"/>
      </w:pPr>
      <w:rPr>
        <w:rFonts w:ascii="Symbol" w:hAnsi="Symbol" w:hint="default"/>
      </w:rPr>
    </w:lvl>
    <w:lvl w:ilvl="1" w:tplc="0410000F">
      <w:start w:val="1"/>
      <w:numFmt w:val="decimal"/>
      <w:lvlText w:val="%2."/>
      <w:lvlJc w:val="left"/>
      <w:pPr>
        <w:ind w:left="1440" w:hanging="360"/>
      </w:pPr>
      <w:rPr>
        <w:rFonts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9366BB8"/>
    <w:multiLevelType w:val="multilevel"/>
    <w:tmpl w:val="7A544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5A1591"/>
    <w:multiLevelType w:val="hybridMultilevel"/>
    <w:tmpl w:val="019E5356"/>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5" w15:restartNumberingAfterBreak="0">
    <w:nsid w:val="55A440ED"/>
    <w:multiLevelType w:val="hybridMultilevel"/>
    <w:tmpl w:val="0B7032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80A3A44"/>
    <w:multiLevelType w:val="hybridMultilevel"/>
    <w:tmpl w:val="0FE8869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96F3D02"/>
    <w:multiLevelType w:val="hybridMultilevel"/>
    <w:tmpl w:val="0C963E9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1A523AA"/>
    <w:multiLevelType w:val="hybridMultilevel"/>
    <w:tmpl w:val="C8C24C9C"/>
    <w:lvl w:ilvl="0" w:tplc="04100001">
      <w:start w:val="1"/>
      <w:numFmt w:val="bullet"/>
      <w:lvlText w:val=""/>
      <w:lvlJc w:val="left"/>
      <w:pPr>
        <w:ind w:left="770" w:hanging="360"/>
      </w:pPr>
      <w:rPr>
        <w:rFonts w:ascii="Symbol" w:hAnsi="Symbol" w:hint="default"/>
      </w:rPr>
    </w:lvl>
    <w:lvl w:ilvl="1" w:tplc="04100003" w:tentative="1">
      <w:start w:val="1"/>
      <w:numFmt w:val="bullet"/>
      <w:lvlText w:val="o"/>
      <w:lvlJc w:val="left"/>
      <w:pPr>
        <w:ind w:left="1490" w:hanging="360"/>
      </w:pPr>
      <w:rPr>
        <w:rFonts w:ascii="Courier New" w:hAnsi="Courier New" w:cs="Courier New" w:hint="default"/>
      </w:rPr>
    </w:lvl>
    <w:lvl w:ilvl="2" w:tplc="04100005" w:tentative="1">
      <w:start w:val="1"/>
      <w:numFmt w:val="bullet"/>
      <w:lvlText w:val=""/>
      <w:lvlJc w:val="left"/>
      <w:pPr>
        <w:ind w:left="2210" w:hanging="360"/>
      </w:pPr>
      <w:rPr>
        <w:rFonts w:ascii="Wingdings" w:hAnsi="Wingdings" w:hint="default"/>
      </w:rPr>
    </w:lvl>
    <w:lvl w:ilvl="3" w:tplc="04100001" w:tentative="1">
      <w:start w:val="1"/>
      <w:numFmt w:val="bullet"/>
      <w:lvlText w:val=""/>
      <w:lvlJc w:val="left"/>
      <w:pPr>
        <w:ind w:left="2930" w:hanging="360"/>
      </w:pPr>
      <w:rPr>
        <w:rFonts w:ascii="Symbol" w:hAnsi="Symbol" w:hint="default"/>
      </w:rPr>
    </w:lvl>
    <w:lvl w:ilvl="4" w:tplc="04100003" w:tentative="1">
      <w:start w:val="1"/>
      <w:numFmt w:val="bullet"/>
      <w:lvlText w:val="o"/>
      <w:lvlJc w:val="left"/>
      <w:pPr>
        <w:ind w:left="3650" w:hanging="360"/>
      </w:pPr>
      <w:rPr>
        <w:rFonts w:ascii="Courier New" w:hAnsi="Courier New" w:cs="Courier New" w:hint="default"/>
      </w:rPr>
    </w:lvl>
    <w:lvl w:ilvl="5" w:tplc="04100005" w:tentative="1">
      <w:start w:val="1"/>
      <w:numFmt w:val="bullet"/>
      <w:lvlText w:val=""/>
      <w:lvlJc w:val="left"/>
      <w:pPr>
        <w:ind w:left="4370" w:hanging="360"/>
      </w:pPr>
      <w:rPr>
        <w:rFonts w:ascii="Wingdings" w:hAnsi="Wingdings" w:hint="default"/>
      </w:rPr>
    </w:lvl>
    <w:lvl w:ilvl="6" w:tplc="04100001" w:tentative="1">
      <w:start w:val="1"/>
      <w:numFmt w:val="bullet"/>
      <w:lvlText w:val=""/>
      <w:lvlJc w:val="left"/>
      <w:pPr>
        <w:ind w:left="5090" w:hanging="360"/>
      </w:pPr>
      <w:rPr>
        <w:rFonts w:ascii="Symbol" w:hAnsi="Symbol" w:hint="default"/>
      </w:rPr>
    </w:lvl>
    <w:lvl w:ilvl="7" w:tplc="04100003" w:tentative="1">
      <w:start w:val="1"/>
      <w:numFmt w:val="bullet"/>
      <w:lvlText w:val="o"/>
      <w:lvlJc w:val="left"/>
      <w:pPr>
        <w:ind w:left="5810" w:hanging="360"/>
      </w:pPr>
      <w:rPr>
        <w:rFonts w:ascii="Courier New" w:hAnsi="Courier New" w:cs="Courier New" w:hint="default"/>
      </w:rPr>
    </w:lvl>
    <w:lvl w:ilvl="8" w:tplc="04100005" w:tentative="1">
      <w:start w:val="1"/>
      <w:numFmt w:val="bullet"/>
      <w:lvlText w:val=""/>
      <w:lvlJc w:val="left"/>
      <w:pPr>
        <w:ind w:left="6530" w:hanging="360"/>
      </w:pPr>
      <w:rPr>
        <w:rFonts w:ascii="Wingdings" w:hAnsi="Wingdings" w:hint="default"/>
      </w:rPr>
    </w:lvl>
  </w:abstractNum>
  <w:abstractNum w:abstractNumId="19" w15:restartNumberingAfterBreak="0">
    <w:nsid w:val="73055328"/>
    <w:multiLevelType w:val="hybridMultilevel"/>
    <w:tmpl w:val="67522D1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3E86A7F"/>
    <w:multiLevelType w:val="hybridMultilevel"/>
    <w:tmpl w:val="A0AED6D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3F41E0C"/>
    <w:multiLevelType w:val="hybridMultilevel"/>
    <w:tmpl w:val="EC96C8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0"/>
  </w:num>
  <w:num w:numId="2">
    <w:abstractNumId w:val="15"/>
  </w:num>
  <w:num w:numId="3">
    <w:abstractNumId w:val="17"/>
  </w:num>
  <w:num w:numId="4">
    <w:abstractNumId w:val="10"/>
  </w:num>
  <w:num w:numId="5">
    <w:abstractNumId w:val="14"/>
  </w:num>
  <w:num w:numId="6">
    <w:abstractNumId w:val="16"/>
  </w:num>
  <w:num w:numId="7">
    <w:abstractNumId w:val="19"/>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4"/>
  </w:num>
  <w:num w:numId="11">
    <w:abstractNumId w:val="9"/>
  </w:num>
  <w:num w:numId="12">
    <w:abstractNumId w:val="2"/>
  </w:num>
  <w:num w:numId="13">
    <w:abstractNumId w:val="18"/>
  </w:num>
  <w:num w:numId="14">
    <w:abstractNumId w:val="6"/>
  </w:num>
  <w:num w:numId="15">
    <w:abstractNumId w:val="12"/>
  </w:num>
  <w:num w:numId="16">
    <w:abstractNumId w:val="11"/>
  </w:num>
  <w:num w:numId="17">
    <w:abstractNumId w:val="8"/>
  </w:num>
  <w:num w:numId="18">
    <w:abstractNumId w:val="3"/>
  </w:num>
  <w:num w:numId="19">
    <w:abstractNumId w:val="5"/>
  </w:num>
  <w:num w:numId="20">
    <w:abstractNumId w:val="13"/>
  </w:num>
  <w:num w:numId="21">
    <w:abstractNumId w:val="2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it-IT"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it-IT" w:vendorID="64" w:dllVersion="131078" w:nlCheck="1" w:checkStyle="0"/>
  <w:activeWritingStyle w:appName="MSWord" w:lang="en-US" w:vendorID="64" w:dllVersion="131078" w:nlCheck="1" w:checkStyle="1"/>
  <w:proofState w:spelling="clean" w:grammar="clean"/>
  <w:defaultTabStop w:val="708"/>
  <w:hyphenationZone w:val="283"/>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582"/>
    <w:rsid w:val="00001B2D"/>
    <w:rsid w:val="00006F51"/>
    <w:rsid w:val="00007044"/>
    <w:rsid w:val="00007D3E"/>
    <w:rsid w:val="00010376"/>
    <w:rsid w:val="00011C18"/>
    <w:rsid w:val="0001231E"/>
    <w:rsid w:val="000142AA"/>
    <w:rsid w:val="00014453"/>
    <w:rsid w:val="000166D0"/>
    <w:rsid w:val="00016939"/>
    <w:rsid w:val="000177EA"/>
    <w:rsid w:val="00021FB5"/>
    <w:rsid w:val="000220B5"/>
    <w:rsid w:val="00031683"/>
    <w:rsid w:val="00032EC2"/>
    <w:rsid w:val="000363F6"/>
    <w:rsid w:val="00037458"/>
    <w:rsid w:val="000403AD"/>
    <w:rsid w:val="000407C3"/>
    <w:rsid w:val="00040D0D"/>
    <w:rsid w:val="00043582"/>
    <w:rsid w:val="00044385"/>
    <w:rsid w:val="000464BD"/>
    <w:rsid w:val="00050582"/>
    <w:rsid w:val="00050BFB"/>
    <w:rsid w:val="00052830"/>
    <w:rsid w:val="000528C7"/>
    <w:rsid w:val="000536D7"/>
    <w:rsid w:val="00054E64"/>
    <w:rsid w:val="00055CC1"/>
    <w:rsid w:val="00060544"/>
    <w:rsid w:val="00060CB7"/>
    <w:rsid w:val="00061306"/>
    <w:rsid w:val="000623BF"/>
    <w:rsid w:val="00062744"/>
    <w:rsid w:val="0006461B"/>
    <w:rsid w:val="000729AD"/>
    <w:rsid w:val="00073DF5"/>
    <w:rsid w:val="000758DA"/>
    <w:rsid w:val="00081668"/>
    <w:rsid w:val="000844A5"/>
    <w:rsid w:val="00086FBE"/>
    <w:rsid w:val="000A280A"/>
    <w:rsid w:val="000A4B60"/>
    <w:rsid w:val="000A578A"/>
    <w:rsid w:val="000A788F"/>
    <w:rsid w:val="000B3A09"/>
    <w:rsid w:val="000B41A5"/>
    <w:rsid w:val="000B589B"/>
    <w:rsid w:val="000B5C67"/>
    <w:rsid w:val="000B6377"/>
    <w:rsid w:val="000C253C"/>
    <w:rsid w:val="000C29A3"/>
    <w:rsid w:val="000C4246"/>
    <w:rsid w:val="000C7163"/>
    <w:rsid w:val="000D092C"/>
    <w:rsid w:val="000D0CCB"/>
    <w:rsid w:val="000D1890"/>
    <w:rsid w:val="000D2541"/>
    <w:rsid w:val="000D30CC"/>
    <w:rsid w:val="000E1ED1"/>
    <w:rsid w:val="000E2C6D"/>
    <w:rsid w:val="000E470C"/>
    <w:rsid w:val="000E5853"/>
    <w:rsid w:val="000E6862"/>
    <w:rsid w:val="000E7649"/>
    <w:rsid w:val="000E7D8C"/>
    <w:rsid w:val="000F090F"/>
    <w:rsid w:val="000F0D22"/>
    <w:rsid w:val="000F546B"/>
    <w:rsid w:val="000F791C"/>
    <w:rsid w:val="00100EDB"/>
    <w:rsid w:val="00111655"/>
    <w:rsid w:val="00111A35"/>
    <w:rsid w:val="00112D3C"/>
    <w:rsid w:val="001138CC"/>
    <w:rsid w:val="001154FF"/>
    <w:rsid w:val="00115AEC"/>
    <w:rsid w:val="00117491"/>
    <w:rsid w:val="00120521"/>
    <w:rsid w:val="0012132A"/>
    <w:rsid w:val="0012132D"/>
    <w:rsid w:val="00122F0B"/>
    <w:rsid w:val="001302F4"/>
    <w:rsid w:val="00130A0C"/>
    <w:rsid w:val="001338C6"/>
    <w:rsid w:val="00136DD8"/>
    <w:rsid w:val="00137F6F"/>
    <w:rsid w:val="00143F48"/>
    <w:rsid w:val="00144342"/>
    <w:rsid w:val="00144AD4"/>
    <w:rsid w:val="00145CD4"/>
    <w:rsid w:val="0014751D"/>
    <w:rsid w:val="00156CBF"/>
    <w:rsid w:val="00157D0A"/>
    <w:rsid w:val="00162987"/>
    <w:rsid w:val="0016512E"/>
    <w:rsid w:val="001662EE"/>
    <w:rsid w:val="001716A1"/>
    <w:rsid w:val="00172325"/>
    <w:rsid w:val="00172D16"/>
    <w:rsid w:val="00172DCE"/>
    <w:rsid w:val="00174524"/>
    <w:rsid w:val="001749C8"/>
    <w:rsid w:val="001763B2"/>
    <w:rsid w:val="0017644F"/>
    <w:rsid w:val="0018166E"/>
    <w:rsid w:val="00181AC1"/>
    <w:rsid w:val="00185E74"/>
    <w:rsid w:val="00187DBA"/>
    <w:rsid w:val="001915CA"/>
    <w:rsid w:val="00192454"/>
    <w:rsid w:val="001925A3"/>
    <w:rsid w:val="0019322A"/>
    <w:rsid w:val="001A14B2"/>
    <w:rsid w:val="001A48B9"/>
    <w:rsid w:val="001A499B"/>
    <w:rsid w:val="001A7849"/>
    <w:rsid w:val="001A7D82"/>
    <w:rsid w:val="001B3728"/>
    <w:rsid w:val="001B5BE8"/>
    <w:rsid w:val="001B71DA"/>
    <w:rsid w:val="001C06A4"/>
    <w:rsid w:val="001C1F2A"/>
    <w:rsid w:val="001C3C14"/>
    <w:rsid w:val="001D7F44"/>
    <w:rsid w:val="001E134E"/>
    <w:rsid w:val="001E17EC"/>
    <w:rsid w:val="001E1CBB"/>
    <w:rsid w:val="001E224E"/>
    <w:rsid w:val="001E2A67"/>
    <w:rsid w:val="001E32E7"/>
    <w:rsid w:val="001E35AD"/>
    <w:rsid w:val="001E6B46"/>
    <w:rsid w:val="001E780A"/>
    <w:rsid w:val="001F1887"/>
    <w:rsid w:val="001F20D3"/>
    <w:rsid w:val="001F3E63"/>
    <w:rsid w:val="00200928"/>
    <w:rsid w:val="00202ABF"/>
    <w:rsid w:val="00207A5E"/>
    <w:rsid w:val="002103B2"/>
    <w:rsid w:val="00211270"/>
    <w:rsid w:val="00212267"/>
    <w:rsid w:val="002157B3"/>
    <w:rsid w:val="0021770D"/>
    <w:rsid w:val="0022089B"/>
    <w:rsid w:val="00221344"/>
    <w:rsid w:val="00222457"/>
    <w:rsid w:val="002233A6"/>
    <w:rsid w:val="00223483"/>
    <w:rsid w:val="0022463A"/>
    <w:rsid w:val="00226885"/>
    <w:rsid w:val="00226DAE"/>
    <w:rsid w:val="0023140D"/>
    <w:rsid w:val="00231783"/>
    <w:rsid w:val="00233AA0"/>
    <w:rsid w:val="002349EA"/>
    <w:rsid w:val="0023566A"/>
    <w:rsid w:val="00237525"/>
    <w:rsid w:val="002422D6"/>
    <w:rsid w:val="00243F52"/>
    <w:rsid w:val="00245D21"/>
    <w:rsid w:val="00247051"/>
    <w:rsid w:val="00251656"/>
    <w:rsid w:val="00252E1D"/>
    <w:rsid w:val="00254546"/>
    <w:rsid w:val="0025766C"/>
    <w:rsid w:val="00260A1E"/>
    <w:rsid w:val="00261294"/>
    <w:rsid w:val="00263CEE"/>
    <w:rsid w:val="0026678C"/>
    <w:rsid w:val="00267182"/>
    <w:rsid w:val="002719E9"/>
    <w:rsid w:val="002745B2"/>
    <w:rsid w:val="00275504"/>
    <w:rsid w:val="00277CFC"/>
    <w:rsid w:val="002824E5"/>
    <w:rsid w:val="00282537"/>
    <w:rsid w:val="0028460B"/>
    <w:rsid w:val="00290546"/>
    <w:rsid w:val="00292DEC"/>
    <w:rsid w:val="002A2AA5"/>
    <w:rsid w:val="002A3B78"/>
    <w:rsid w:val="002A3C43"/>
    <w:rsid w:val="002A3DBE"/>
    <w:rsid w:val="002A4B7E"/>
    <w:rsid w:val="002A7718"/>
    <w:rsid w:val="002B08D5"/>
    <w:rsid w:val="002B3ECB"/>
    <w:rsid w:val="002B74EF"/>
    <w:rsid w:val="002C544C"/>
    <w:rsid w:val="002D1832"/>
    <w:rsid w:val="002D3C9B"/>
    <w:rsid w:val="002D5907"/>
    <w:rsid w:val="002D6EF1"/>
    <w:rsid w:val="002D7C95"/>
    <w:rsid w:val="002E0771"/>
    <w:rsid w:val="002E0B44"/>
    <w:rsid w:val="002E127F"/>
    <w:rsid w:val="002E2FDD"/>
    <w:rsid w:val="002E5F12"/>
    <w:rsid w:val="002E69D5"/>
    <w:rsid w:val="002F1AC1"/>
    <w:rsid w:val="002F3440"/>
    <w:rsid w:val="0030040E"/>
    <w:rsid w:val="003013D7"/>
    <w:rsid w:val="00304337"/>
    <w:rsid w:val="00306EFE"/>
    <w:rsid w:val="003114BF"/>
    <w:rsid w:val="00312813"/>
    <w:rsid w:val="00312D9C"/>
    <w:rsid w:val="00312E2C"/>
    <w:rsid w:val="00314DC8"/>
    <w:rsid w:val="003154F7"/>
    <w:rsid w:val="003164D7"/>
    <w:rsid w:val="00327841"/>
    <w:rsid w:val="00331079"/>
    <w:rsid w:val="00332500"/>
    <w:rsid w:val="0033391E"/>
    <w:rsid w:val="00335FDD"/>
    <w:rsid w:val="0033724E"/>
    <w:rsid w:val="00340127"/>
    <w:rsid w:val="00341502"/>
    <w:rsid w:val="00341E60"/>
    <w:rsid w:val="003450CC"/>
    <w:rsid w:val="00345640"/>
    <w:rsid w:val="00346BE9"/>
    <w:rsid w:val="00347EDE"/>
    <w:rsid w:val="00351244"/>
    <w:rsid w:val="00351DF1"/>
    <w:rsid w:val="00351FDE"/>
    <w:rsid w:val="00353A21"/>
    <w:rsid w:val="003552A5"/>
    <w:rsid w:val="00355577"/>
    <w:rsid w:val="003627E9"/>
    <w:rsid w:val="003672FC"/>
    <w:rsid w:val="003678AA"/>
    <w:rsid w:val="00367D19"/>
    <w:rsid w:val="00374802"/>
    <w:rsid w:val="003821DF"/>
    <w:rsid w:val="0038434B"/>
    <w:rsid w:val="00387D16"/>
    <w:rsid w:val="00390629"/>
    <w:rsid w:val="00393BA1"/>
    <w:rsid w:val="00394FB5"/>
    <w:rsid w:val="00397EBC"/>
    <w:rsid w:val="003A398B"/>
    <w:rsid w:val="003A3D39"/>
    <w:rsid w:val="003A6390"/>
    <w:rsid w:val="003B1D41"/>
    <w:rsid w:val="003B1E54"/>
    <w:rsid w:val="003B2348"/>
    <w:rsid w:val="003B2655"/>
    <w:rsid w:val="003B322A"/>
    <w:rsid w:val="003B7974"/>
    <w:rsid w:val="003C046C"/>
    <w:rsid w:val="003C2F5A"/>
    <w:rsid w:val="003C5E3B"/>
    <w:rsid w:val="003C61C8"/>
    <w:rsid w:val="003C68E2"/>
    <w:rsid w:val="003D0E3B"/>
    <w:rsid w:val="003D1A20"/>
    <w:rsid w:val="003D5FD5"/>
    <w:rsid w:val="003E239D"/>
    <w:rsid w:val="003E6AB3"/>
    <w:rsid w:val="003E7401"/>
    <w:rsid w:val="003E7B3A"/>
    <w:rsid w:val="003F3342"/>
    <w:rsid w:val="003F5256"/>
    <w:rsid w:val="003F639D"/>
    <w:rsid w:val="003F6646"/>
    <w:rsid w:val="003F6715"/>
    <w:rsid w:val="003F6971"/>
    <w:rsid w:val="00400420"/>
    <w:rsid w:val="00400954"/>
    <w:rsid w:val="0040173D"/>
    <w:rsid w:val="004062D0"/>
    <w:rsid w:val="0040717F"/>
    <w:rsid w:val="00411FA3"/>
    <w:rsid w:val="00413AB6"/>
    <w:rsid w:val="00413C74"/>
    <w:rsid w:val="0041659B"/>
    <w:rsid w:val="004201E9"/>
    <w:rsid w:val="004207CE"/>
    <w:rsid w:val="0042190A"/>
    <w:rsid w:val="00424702"/>
    <w:rsid w:val="00424D3F"/>
    <w:rsid w:val="00425AC1"/>
    <w:rsid w:val="00426113"/>
    <w:rsid w:val="004262C9"/>
    <w:rsid w:val="004313B9"/>
    <w:rsid w:val="00432982"/>
    <w:rsid w:val="00435EE2"/>
    <w:rsid w:val="00440CC1"/>
    <w:rsid w:val="00442780"/>
    <w:rsid w:val="00443763"/>
    <w:rsid w:val="00443A3E"/>
    <w:rsid w:val="004477B2"/>
    <w:rsid w:val="004516DD"/>
    <w:rsid w:val="00451FB5"/>
    <w:rsid w:val="00456050"/>
    <w:rsid w:val="004573A8"/>
    <w:rsid w:val="00457BCB"/>
    <w:rsid w:val="004622FC"/>
    <w:rsid w:val="0046304A"/>
    <w:rsid w:val="004633DA"/>
    <w:rsid w:val="0046605A"/>
    <w:rsid w:val="00467D65"/>
    <w:rsid w:val="00467DEB"/>
    <w:rsid w:val="00471F0F"/>
    <w:rsid w:val="00472005"/>
    <w:rsid w:val="004749DB"/>
    <w:rsid w:val="00474A36"/>
    <w:rsid w:val="00475617"/>
    <w:rsid w:val="004771D1"/>
    <w:rsid w:val="004811F9"/>
    <w:rsid w:val="0048189F"/>
    <w:rsid w:val="00483BA6"/>
    <w:rsid w:val="00485572"/>
    <w:rsid w:val="00485622"/>
    <w:rsid w:val="00485AEF"/>
    <w:rsid w:val="00487298"/>
    <w:rsid w:val="00487823"/>
    <w:rsid w:val="00492036"/>
    <w:rsid w:val="0049228A"/>
    <w:rsid w:val="0049511B"/>
    <w:rsid w:val="004A03C2"/>
    <w:rsid w:val="004A495A"/>
    <w:rsid w:val="004A6632"/>
    <w:rsid w:val="004A6F16"/>
    <w:rsid w:val="004A7C9D"/>
    <w:rsid w:val="004B1AAB"/>
    <w:rsid w:val="004B3FB3"/>
    <w:rsid w:val="004B5333"/>
    <w:rsid w:val="004B6115"/>
    <w:rsid w:val="004B726B"/>
    <w:rsid w:val="004C0450"/>
    <w:rsid w:val="004C26F4"/>
    <w:rsid w:val="004C69D5"/>
    <w:rsid w:val="004D1456"/>
    <w:rsid w:val="004D2162"/>
    <w:rsid w:val="004D4F48"/>
    <w:rsid w:val="004D5657"/>
    <w:rsid w:val="004D7151"/>
    <w:rsid w:val="004E067C"/>
    <w:rsid w:val="004E3C0A"/>
    <w:rsid w:val="004E470D"/>
    <w:rsid w:val="004E54C6"/>
    <w:rsid w:val="004E5BD0"/>
    <w:rsid w:val="004F04FE"/>
    <w:rsid w:val="004F121C"/>
    <w:rsid w:val="004F1ADB"/>
    <w:rsid w:val="004F4E90"/>
    <w:rsid w:val="004F4FFF"/>
    <w:rsid w:val="004F5225"/>
    <w:rsid w:val="004F7D97"/>
    <w:rsid w:val="00502B13"/>
    <w:rsid w:val="005059B1"/>
    <w:rsid w:val="00506AC1"/>
    <w:rsid w:val="00510219"/>
    <w:rsid w:val="00511515"/>
    <w:rsid w:val="00511D08"/>
    <w:rsid w:val="005122DB"/>
    <w:rsid w:val="0051353C"/>
    <w:rsid w:val="00514FE4"/>
    <w:rsid w:val="00516089"/>
    <w:rsid w:val="005230F0"/>
    <w:rsid w:val="0052339D"/>
    <w:rsid w:val="005235E5"/>
    <w:rsid w:val="00526DC0"/>
    <w:rsid w:val="005358DB"/>
    <w:rsid w:val="005367C8"/>
    <w:rsid w:val="005427E9"/>
    <w:rsid w:val="00543025"/>
    <w:rsid w:val="0054357C"/>
    <w:rsid w:val="0054421D"/>
    <w:rsid w:val="00547086"/>
    <w:rsid w:val="005500A2"/>
    <w:rsid w:val="00552064"/>
    <w:rsid w:val="00552E8B"/>
    <w:rsid w:val="0055354D"/>
    <w:rsid w:val="00553A0A"/>
    <w:rsid w:val="00554C86"/>
    <w:rsid w:val="0055699E"/>
    <w:rsid w:val="00557FF8"/>
    <w:rsid w:val="00560245"/>
    <w:rsid w:val="00562930"/>
    <w:rsid w:val="00565D71"/>
    <w:rsid w:val="005724AB"/>
    <w:rsid w:val="00574A55"/>
    <w:rsid w:val="00576F90"/>
    <w:rsid w:val="00577848"/>
    <w:rsid w:val="00580409"/>
    <w:rsid w:val="0058178E"/>
    <w:rsid w:val="00581F30"/>
    <w:rsid w:val="00582421"/>
    <w:rsid w:val="00586E6E"/>
    <w:rsid w:val="00587E09"/>
    <w:rsid w:val="005922DE"/>
    <w:rsid w:val="005924AA"/>
    <w:rsid w:val="0059254C"/>
    <w:rsid w:val="00592550"/>
    <w:rsid w:val="005930FB"/>
    <w:rsid w:val="00597CE2"/>
    <w:rsid w:val="005A2387"/>
    <w:rsid w:val="005A76BC"/>
    <w:rsid w:val="005B4187"/>
    <w:rsid w:val="005B5C0D"/>
    <w:rsid w:val="005B69E4"/>
    <w:rsid w:val="005C24BC"/>
    <w:rsid w:val="005C66DB"/>
    <w:rsid w:val="005C71F8"/>
    <w:rsid w:val="005D5C9C"/>
    <w:rsid w:val="005E31AF"/>
    <w:rsid w:val="005E33DD"/>
    <w:rsid w:val="005E4CE5"/>
    <w:rsid w:val="005E5A5B"/>
    <w:rsid w:val="005E7AF6"/>
    <w:rsid w:val="005F0FA4"/>
    <w:rsid w:val="005F6A61"/>
    <w:rsid w:val="005F6C9D"/>
    <w:rsid w:val="00603220"/>
    <w:rsid w:val="00603289"/>
    <w:rsid w:val="00603D01"/>
    <w:rsid w:val="00606A20"/>
    <w:rsid w:val="006070CB"/>
    <w:rsid w:val="00607879"/>
    <w:rsid w:val="00607C4D"/>
    <w:rsid w:val="00611FA8"/>
    <w:rsid w:val="006120E0"/>
    <w:rsid w:val="00623B93"/>
    <w:rsid w:val="006241A7"/>
    <w:rsid w:val="006243A7"/>
    <w:rsid w:val="00625175"/>
    <w:rsid w:val="00625DEE"/>
    <w:rsid w:val="00635777"/>
    <w:rsid w:val="00636977"/>
    <w:rsid w:val="0064092F"/>
    <w:rsid w:val="00646D9F"/>
    <w:rsid w:val="006501DD"/>
    <w:rsid w:val="006506AE"/>
    <w:rsid w:val="0065241B"/>
    <w:rsid w:val="006533EB"/>
    <w:rsid w:val="006556C3"/>
    <w:rsid w:val="006564F1"/>
    <w:rsid w:val="0065654F"/>
    <w:rsid w:val="00656F5F"/>
    <w:rsid w:val="00657D56"/>
    <w:rsid w:val="00660317"/>
    <w:rsid w:val="0066053B"/>
    <w:rsid w:val="0066265A"/>
    <w:rsid w:val="00663747"/>
    <w:rsid w:val="00665C8A"/>
    <w:rsid w:val="0066721E"/>
    <w:rsid w:val="00667936"/>
    <w:rsid w:val="00670710"/>
    <w:rsid w:val="006711E4"/>
    <w:rsid w:val="00672B69"/>
    <w:rsid w:val="006776CA"/>
    <w:rsid w:val="00682727"/>
    <w:rsid w:val="00682CE6"/>
    <w:rsid w:val="0068442C"/>
    <w:rsid w:val="00686C43"/>
    <w:rsid w:val="00686D2C"/>
    <w:rsid w:val="0068719F"/>
    <w:rsid w:val="00692A98"/>
    <w:rsid w:val="006A4824"/>
    <w:rsid w:val="006A635F"/>
    <w:rsid w:val="006B00EE"/>
    <w:rsid w:val="006B24DF"/>
    <w:rsid w:val="006B490C"/>
    <w:rsid w:val="006C0D06"/>
    <w:rsid w:val="006C1BB4"/>
    <w:rsid w:val="006C32C7"/>
    <w:rsid w:val="006D0282"/>
    <w:rsid w:val="006D1CED"/>
    <w:rsid w:val="006D2369"/>
    <w:rsid w:val="006D3AB4"/>
    <w:rsid w:val="006D5E3D"/>
    <w:rsid w:val="006E204E"/>
    <w:rsid w:val="006E2872"/>
    <w:rsid w:val="006E4419"/>
    <w:rsid w:val="006E648F"/>
    <w:rsid w:val="006E77D4"/>
    <w:rsid w:val="006F0449"/>
    <w:rsid w:val="006F07ED"/>
    <w:rsid w:val="006F1A60"/>
    <w:rsid w:val="006F20B8"/>
    <w:rsid w:val="006F2419"/>
    <w:rsid w:val="006F2D9D"/>
    <w:rsid w:val="006F5DDF"/>
    <w:rsid w:val="007004EB"/>
    <w:rsid w:val="00700738"/>
    <w:rsid w:val="007018EA"/>
    <w:rsid w:val="00704350"/>
    <w:rsid w:val="00705054"/>
    <w:rsid w:val="007074A1"/>
    <w:rsid w:val="00710DB0"/>
    <w:rsid w:val="007201B2"/>
    <w:rsid w:val="0072464E"/>
    <w:rsid w:val="00726BC1"/>
    <w:rsid w:val="00727AE0"/>
    <w:rsid w:val="00732100"/>
    <w:rsid w:val="00741FB8"/>
    <w:rsid w:val="00742276"/>
    <w:rsid w:val="007436B9"/>
    <w:rsid w:val="00746B69"/>
    <w:rsid w:val="00753E72"/>
    <w:rsid w:val="00754F3C"/>
    <w:rsid w:val="00760888"/>
    <w:rsid w:val="007608FB"/>
    <w:rsid w:val="00762A22"/>
    <w:rsid w:val="007643F8"/>
    <w:rsid w:val="00767FA6"/>
    <w:rsid w:val="0077041D"/>
    <w:rsid w:val="0077161B"/>
    <w:rsid w:val="00771BAE"/>
    <w:rsid w:val="00772798"/>
    <w:rsid w:val="00772F24"/>
    <w:rsid w:val="0077553F"/>
    <w:rsid w:val="007757F0"/>
    <w:rsid w:val="00775B8C"/>
    <w:rsid w:val="00775CCF"/>
    <w:rsid w:val="00781123"/>
    <w:rsid w:val="007826B1"/>
    <w:rsid w:val="00783B0A"/>
    <w:rsid w:val="0078542A"/>
    <w:rsid w:val="00785D5E"/>
    <w:rsid w:val="00787118"/>
    <w:rsid w:val="00790A89"/>
    <w:rsid w:val="00792004"/>
    <w:rsid w:val="00793341"/>
    <w:rsid w:val="0079386B"/>
    <w:rsid w:val="00794B4A"/>
    <w:rsid w:val="0079596D"/>
    <w:rsid w:val="00796799"/>
    <w:rsid w:val="007A0F24"/>
    <w:rsid w:val="007A1259"/>
    <w:rsid w:val="007A13B6"/>
    <w:rsid w:val="007A1487"/>
    <w:rsid w:val="007A15B2"/>
    <w:rsid w:val="007A1790"/>
    <w:rsid w:val="007A1FF7"/>
    <w:rsid w:val="007A217F"/>
    <w:rsid w:val="007A5331"/>
    <w:rsid w:val="007B75D1"/>
    <w:rsid w:val="007C070E"/>
    <w:rsid w:val="007C11B6"/>
    <w:rsid w:val="007C6B65"/>
    <w:rsid w:val="007D4850"/>
    <w:rsid w:val="007D4CA4"/>
    <w:rsid w:val="007D5D82"/>
    <w:rsid w:val="007E000C"/>
    <w:rsid w:val="007E519C"/>
    <w:rsid w:val="007E7678"/>
    <w:rsid w:val="007F2956"/>
    <w:rsid w:val="007F33C1"/>
    <w:rsid w:val="007F3FEB"/>
    <w:rsid w:val="007F543B"/>
    <w:rsid w:val="0080011B"/>
    <w:rsid w:val="008018DB"/>
    <w:rsid w:val="00801AA5"/>
    <w:rsid w:val="008063DB"/>
    <w:rsid w:val="0081182A"/>
    <w:rsid w:val="008140DD"/>
    <w:rsid w:val="00816E37"/>
    <w:rsid w:val="00820031"/>
    <w:rsid w:val="00825A7D"/>
    <w:rsid w:val="00826BAF"/>
    <w:rsid w:val="0082776A"/>
    <w:rsid w:val="00830008"/>
    <w:rsid w:val="0083056A"/>
    <w:rsid w:val="00830AB7"/>
    <w:rsid w:val="00831448"/>
    <w:rsid w:val="00835666"/>
    <w:rsid w:val="00840D0E"/>
    <w:rsid w:val="00844CF5"/>
    <w:rsid w:val="008457FE"/>
    <w:rsid w:val="00845924"/>
    <w:rsid w:val="00845CE7"/>
    <w:rsid w:val="008471D7"/>
    <w:rsid w:val="008501C2"/>
    <w:rsid w:val="00850BE5"/>
    <w:rsid w:val="00851A43"/>
    <w:rsid w:val="00851CDC"/>
    <w:rsid w:val="00852575"/>
    <w:rsid w:val="008603C0"/>
    <w:rsid w:val="00862DEE"/>
    <w:rsid w:val="00864432"/>
    <w:rsid w:val="00864F8A"/>
    <w:rsid w:val="0086557E"/>
    <w:rsid w:val="008663F6"/>
    <w:rsid w:val="00870C84"/>
    <w:rsid w:val="0087127A"/>
    <w:rsid w:val="008727F3"/>
    <w:rsid w:val="008737FB"/>
    <w:rsid w:val="0087528D"/>
    <w:rsid w:val="0087681A"/>
    <w:rsid w:val="00880BFB"/>
    <w:rsid w:val="00880F4A"/>
    <w:rsid w:val="0088257F"/>
    <w:rsid w:val="00884907"/>
    <w:rsid w:val="0088498C"/>
    <w:rsid w:val="00890FA8"/>
    <w:rsid w:val="00892AB6"/>
    <w:rsid w:val="00896BE3"/>
    <w:rsid w:val="008A568F"/>
    <w:rsid w:val="008A5AEB"/>
    <w:rsid w:val="008A6B99"/>
    <w:rsid w:val="008A76AF"/>
    <w:rsid w:val="008B33A2"/>
    <w:rsid w:val="008B4194"/>
    <w:rsid w:val="008C271F"/>
    <w:rsid w:val="008C4795"/>
    <w:rsid w:val="008C50FE"/>
    <w:rsid w:val="008C5AF1"/>
    <w:rsid w:val="008D04CE"/>
    <w:rsid w:val="008D2CFC"/>
    <w:rsid w:val="008D34C2"/>
    <w:rsid w:val="008E15A2"/>
    <w:rsid w:val="008E2A01"/>
    <w:rsid w:val="008E3D93"/>
    <w:rsid w:val="008F10B2"/>
    <w:rsid w:val="008F299D"/>
    <w:rsid w:val="008F30C3"/>
    <w:rsid w:val="008F48D0"/>
    <w:rsid w:val="008F4919"/>
    <w:rsid w:val="008F5271"/>
    <w:rsid w:val="008F61B3"/>
    <w:rsid w:val="00901149"/>
    <w:rsid w:val="00901E5E"/>
    <w:rsid w:val="009054D4"/>
    <w:rsid w:val="00905870"/>
    <w:rsid w:val="0091359C"/>
    <w:rsid w:val="00914280"/>
    <w:rsid w:val="00915B2E"/>
    <w:rsid w:val="00917130"/>
    <w:rsid w:val="00921441"/>
    <w:rsid w:val="00921762"/>
    <w:rsid w:val="00922E78"/>
    <w:rsid w:val="009250EC"/>
    <w:rsid w:val="00927688"/>
    <w:rsid w:val="009332A3"/>
    <w:rsid w:val="009346CC"/>
    <w:rsid w:val="009351F1"/>
    <w:rsid w:val="00935EBB"/>
    <w:rsid w:val="00936E98"/>
    <w:rsid w:val="00936F10"/>
    <w:rsid w:val="00945A35"/>
    <w:rsid w:val="009501D3"/>
    <w:rsid w:val="009514D0"/>
    <w:rsid w:val="00951894"/>
    <w:rsid w:val="00952A63"/>
    <w:rsid w:val="00954000"/>
    <w:rsid w:val="0095584B"/>
    <w:rsid w:val="009570F0"/>
    <w:rsid w:val="00957B44"/>
    <w:rsid w:val="00963444"/>
    <w:rsid w:val="009639DA"/>
    <w:rsid w:val="009669F6"/>
    <w:rsid w:val="00970B4D"/>
    <w:rsid w:val="00970E90"/>
    <w:rsid w:val="00972765"/>
    <w:rsid w:val="00973C30"/>
    <w:rsid w:val="00983533"/>
    <w:rsid w:val="009841EF"/>
    <w:rsid w:val="009920B1"/>
    <w:rsid w:val="009A4804"/>
    <w:rsid w:val="009A530D"/>
    <w:rsid w:val="009A689E"/>
    <w:rsid w:val="009B0DC3"/>
    <w:rsid w:val="009B3E5B"/>
    <w:rsid w:val="009B6721"/>
    <w:rsid w:val="009C1D88"/>
    <w:rsid w:val="009C2CC2"/>
    <w:rsid w:val="009C3023"/>
    <w:rsid w:val="009C5E61"/>
    <w:rsid w:val="009C6EA5"/>
    <w:rsid w:val="009C722D"/>
    <w:rsid w:val="009D178E"/>
    <w:rsid w:val="009D199F"/>
    <w:rsid w:val="009D3161"/>
    <w:rsid w:val="009D47F3"/>
    <w:rsid w:val="009D5C52"/>
    <w:rsid w:val="009D6229"/>
    <w:rsid w:val="009D7D64"/>
    <w:rsid w:val="009E1CC9"/>
    <w:rsid w:val="009E295A"/>
    <w:rsid w:val="009E621B"/>
    <w:rsid w:val="009E7B4E"/>
    <w:rsid w:val="009F1626"/>
    <w:rsid w:val="009F6775"/>
    <w:rsid w:val="009F7213"/>
    <w:rsid w:val="00A03BB9"/>
    <w:rsid w:val="00A04D13"/>
    <w:rsid w:val="00A06892"/>
    <w:rsid w:val="00A07B8F"/>
    <w:rsid w:val="00A10537"/>
    <w:rsid w:val="00A10DE2"/>
    <w:rsid w:val="00A11EF4"/>
    <w:rsid w:val="00A12F24"/>
    <w:rsid w:val="00A13C64"/>
    <w:rsid w:val="00A17F7A"/>
    <w:rsid w:val="00A213B8"/>
    <w:rsid w:val="00A22659"/>
    <w:rsid w:val="00A22EAA"/>
    <w:rsid w:val="00A23582"/>
    <w:rsid w:val="00A23C86"/>
    <w:rsid w:val="00A2781F"/>
    <w:rsid w:val="00A40387"/>
    <w:rsid w:val="00A41F4C"/>
    <w:rsid w:val="00A436A4"/>
    <w:rsid w:val="00A46568"/>
    <w:rsid w:val="00A5064C"/>
    <w:rsid w:val="00A50FE0"/>
    <w:rsid w:val="00A51372"/>
    <w:rsid w:val="00A54FAD"/>
    <w:rsid w:val="00A60720"/>
    <w:rsid w:val="00A60BCA"/>
    <w:rsid w:val="00A62975"/>
    <w:rsid w:val="00A62C7A"/>
    <w:rsid w:val="00A63157"/>
    <w:rsid w:val="00A63C00"/>
    <w:rsid w:val="00A65BF5"/>
    <w:rsid w:val="00A65E1A"/>
    <w:rsid w:val="00A732B3"/>
    <w:rsid w:val="00A747D0"/>
    <w:rsid w:val="00A76F08"/>
    <w:rsid w:val="00A802DF"/>
    <w:rsid w:val="00A83521"/>
    <w:rsid w:val="00A8669B"/>
    <w:rsid w:val="00A87D3C"/>
    <w:rsid w:val="00A87DB7"/>
    <w:rsid w:val="00A903F4"/>
    <w:rsid w:val="00A9213A"/>
    <w:rsid w:val="00A924B2"/>
    <w:rsid w:val="00A95341"/>
    <w:rsid w:val="00A953FD"/>
    <w:rsid w:val="00AA02A5"/>
    <w:rsid w:val="00AA13FE"/>
    <w:rsid w:val="00AA15EF"/>
    <w:rsid w:val="00AA2508"/>
    <w:rsid w:val="00AA3C90"/>
    <w:rsid w:val="00AA4A7D"/>
    <w:rsid w:val="00AA4F2C"/>
    <w:rsid w:val="00AB2A98"/>
    <w:rsid w:val="00AB46E2"/>
    <w:rsid w:val="00AC0358"/>
    <w:rsid w:val="00AC0FD1"/>
    <w:rsid w:val="00AC2C80"/>
    <w:rsid w:val="00AD0072"/>
    <w:rsid w:val="00AD2433"/>
    <w:rsid w:val="00AD2D11"/>
    <w:rsid w:val="00AD42E3"/>
    <w:rsid w:val="00AD57B7"/>
    <w:rsid w:val="00AD63C6"/>
    <w:rsid w:val="00AD6E6E"/>
    <w:rsid w:val="00AE0C26"/>
    <w:rsid w:val="00AE15CA"/>
    <w:rsid w:val="00AE7DD1"/>
    <w:rsid w:val="00AF065C"/>
    <w:rsid w:val="00AF19E7"/>
    <w:rsid w:val="00AF25B4"/>
    <w:rsid w:val="00AF33B0"/>
    <w:rsid w:val="00AF5FB8"/>
    <w:rsid w:val="00AF7F36"/>
    <w:rsid w:val="00B011D6"/>
    <w:rsid w:val="00B02B6B"/>
    <w:rsid w:val="00B045C5"/>
    <w:rsid w:val="00B04F34"/>
    <w:rsid w:val="00B06218"/>
    <w:rsid w:val="00B113BE"/>
    <w:rsid w:val="00B11682"/>
    <w:rsid w:val="00B13242"/>
    <w:rsid w:val="00B15B56"/>
    <w:rsid w:val="00B17441"/>
    <w:rsid w:val="00B21C1C"/>
    <w:rsid w:val="00B24E3B"/>
    <w:rsid w:val="00B26D19"/>
    <w:rsid w:val="00B3062E"/>
    <w:rsid w:val="00B33108"/>
    <w:rsid w:val="00B4194E"/>
    <w:rsid w:val="00B45A4E"/>
    <w:rsid w:val="00B46E4C"/>
    <w:rsid w:val="00B479FD"/>
    <w:rsid w:val="00B51604"/>
    <w:rsid w:val="00B52F93"/>
    <w:rsid w:val="00B56936"/>
    <w:rsid w:val="00B573AC"/>
    <w:rsid w:val="00B6002C"/>
    <w:rsid w:val="00B607C3"/>
    <w:rsid w:val="00B62A8D"/>
    <w:rsid w:val="00B62E3C"/>
    <w:rsid w:val="00B65CD9"/>
    <w:rsid w:val="00B65FFA"/>
    <w:rsid w:val="00B72768"/>
    <w:rsid w:val="00B75F8F"/>
    <w:rsid w:val="00B76840"/>
    <w:rsid w:val="00B77F4B"/>
    <w:rsid w:val="00B808A3"/>
    <w:rsid w:val="00B8264F"/>
    <w:rsid w:val="00B82A19"/>
    <w:rsid w:val="00B82E1F"/>
    <w:rsid w:val="00B84B53"/>
    <w:rsid w:val="00B868BE"/>
    <w:rsid w:val="00B87390"/>
    <w:rsid w:val="00B90154"/>
    <w:rsid w:val="00B9140B"/>
    <w:rsid w:val="00B92168"/>
    <w:rsid w:val="00B95AE6"/>
    <w:rsid w:val="00B96577"/>
    <w:rsid w:val="00B97755"/>
    <w:rsid w:val="00BA0D19"/>
    <w:rsid w:val="00BA1559"/>
    <w:rsid w:val="00BA169A"/>
    <w:rsid w:val="00BA16C4"/>
    <w:rsid w:val="00BA517B"/>
    <w:rsid w:val="00BA5A42"/>
    <w:rsid w:val="00BA7EB0"/>
    <w:rsid w:val="00BB31AD"/>
    <w:rsid w:val="00BB5CC8"/>
    <w:rsid w:val="00BB6BE3"/>
    <w:rsid w:val="00BB772A"/>
    <w:rsid w:val="00BC6447"/>
    <w:rsid w:val="00BC6FEF"/>
    <w:rsid w:val="00BD0E19"/>
    <w:rsid w:val="00BD1D7D"/>
    <w:rsid w:val="00BD36BF"/>
    <w:rsid w:val="00BD3FAC"/>
    <w:rsid w:val="00BD4F21"/>
    <w:rsid w:val="00BD5E29"/>
    <w:rsid w:val="00BE2C41"/>
    <w:rsid w:val="00BE3662"/>
    <w:rsid w:val="00BE4B72"/>
    <w:rsid w:val="00BE4D7B"/>
    <w:rsid w:val="00BE56B6"/>
    <w:rsid w:val="00BE5F2B"/>
    <w:rsid w:val="00BE6C58"/>
    <w:rsid w:val="00BF310B"/>
    <w:rsid w:val="00BF5FE2"/>
    <w:rsid w:val="00C01BEE"/>
    <w:rsid w:val="00C04838"/>
    <w:rsid w:val="00C0503C"/>
    <w:rsid w:val="00C0506F"/>
    <w:rsid w:val="00C05E18"/>
    <w:rsid w:val="00C0667E"/>
    <w:rsid w:val="00C12B75"/>
    <w:rsid w:val="00C156C9"/>
    <w:rsid w:val="00C1697C"/>
    <w:rsid w:val="00C16A9D"/>
    <w:rsid w:val="00C228A4"/>
    <w:rsid w:val="00C22B19"/>
    <w:rsid w:val="00C23B31"/>
    <w:rsid w:val="00C24A5E"/>
    <w:rsid w:val="00C25467"/>
    <w:rsid w:val="00C27AA2"/>
    <w:rsid w:val="00C31BAC"/>
    <w:rsid w:val="00C37D8C"/>
    <w:rsid w:val="00C40D5E"/>
    <w:rsid w:val="00C430CE"/>
    <w:rsid w:val="00C43C07"/>
    <w:rsid w:val="00C444ED"/>
    <w:rsid w:val="00C452CF"/>
    <w:rsid w:val="00C45A1D"/>
    <w:rsid w:val="00C462A0"/>
    <w:rsid w:val="00C47705"/>
    <w:rsid w:val="00C51B80"/>
    <w:rsid w:val="00C51EF1"/>
    <w:rsid w:val="00C56085"/>
    <w:rsid w:val="00C566E9"/>
    <w:rsid w:val="00C56779"/>
    <w:rsid w:val="00C567E2"/>
    <w:rsid w:val="00C60A4B"/>
    <w:rsid w:val="00C6288F"/>
    <w:rsid w:val="00C63B23"/>
    <w:rsid w:val="00C63F8F"/>
    <w:rsid w:val="00C70772"/>
    <w:rsid w:val="00C746E4"/>
    <w:rsid w:val="00C76424"/>
    <w:rsid w:val="00C824D6"/>
    <w:rsid w:val="00C8296E"/>
    <w:rsid w:val="00C84390"/>
    <w:rsid w:val="00C877D5"/>
    <w:rsid w:val="00C90369"/>
    <w:rsid w:val="00C90ED2"/>
    <w:rsid w:val="00C961BF"/>
    <w:rsid w:val="00C963C4"/>
    <w:rsid w:val="00CA0F60"/>
    <w:rsid w:val="00CA4373"/>
    <w:rsid w:val="00CA4B03"/>
    <w:rsid w:val="00CA5F86"/>
    <w:rsid w:val="00CA766A"/>
    <w:rsid w:val="00CA7BDB"/>
    <w:rsid w:val="00CB0643"/>
    <w:rsid w:val="00CB27DD"/>
    <w:rsid w:val="00CB288A"/>
    <w:rsid w:val="00CB3F6C"/>
    <w:rsid w:val="00CB4E39"/>
    <w:rsid w:val="00CB5440"/>
    <w:rsid w:val="00CB6107"/>
    <w:rsid w:val="00CB6E85"/>
    <w:rsid w:val="00CB7978"/>
    <w:rsid w:val="00CC3513"/>
    <w:rsid w:val="00CC75D7"/>
    <w:rsid w:val="00CC7E54"/>
    <w:rsid w:val="00CD11EC"/>
    <w:rsid w:val="00CD3B90"/>
    <w:rsid w:val="00CD4AE3"/>
    <w:rsid w:val="00CD4E9D"/>
    <w:rsid w:val="00CD4F65"/>
    <w:rsid w:val="00CD50DD"/>
    <w:rsid w:val="00CD6430"/>
    <w:rsid w:val="00CD7331"/>
    <w:rsid w:val="00CE1B62"/>
    <w:rsid w:val="00CE287A"/>
    <w:rsid w:val="00CE3538"/>
    <w:rsid w:val="00CE51A2"/>
    <w:rsid w:val="00CE5DE5"/>
    <w:rsid w:val="00CE66BE"/>
    <w:rsid w:val="00CE676B"/>
    <w:rsid w:val="00CF215E"/>
    <w:rsid w:val="00CF3188"/>
    <w:rsid w:val="00CF3B34"/>
    <w:rsid w:val="00CF4BCD"/>
    <w:rsid w:val="00D0102A"/>
    <w:rsid w:val="00D016E0"/>
    <w:rsid w:val="00D01E91"/>
    <w:rsid w:val="00D0649A"/>
    <w:rsid w:val="00D07F42"/>
    <w:rsid w:val="00D10178"/>
    <w:rsid w:val="00D10CFD"/>
    <w:rsid w:val="00D11732"/>
    <w:rsid w:val="00D12B1E"/>
    <w:rsid w:val="00D14B45"/>
    <w:rsid w:val="00D15FE6"/>
    <w:rsid w:val="00D253F6"/>
    <w:rsid w:val="00D256C6"/>
    <w:rsid w:val="00D256C7"/>
    <w:rsid w:val="00D258CA"/>
    <w:rsid w:val="00D26FEA"/>
    <w:rsid w:val="00D316F6"/>
    <w:rsid w:val="00D35D6B"/>
    <w:rsid w:val="00D37BD7"/>
    <w:rsid w:val="00D41DFE"/>
    <w:rsid w:val="00D41E40"/>
    <w:rsid w:val="00D42281"/>
    <w:rsid w:val="00D4258B"/>
    <w:rsid w:val="00D427DE"/>
    <w:rsid w:val="00D440CF"/>
    <w:rsid w:val="00D44AE1"/>
    <w:rsid w:val="00D45250"/>
    <w:rsid w:val="00D45702"/>
    <w:rsid w:val="00D46200"/>
    <w:rsid w:val="00D5055D"/>
    <w:rsid w:val="00D5071C"/>
    <w:rsid w:val="00D50CE6"/>
    <w:rsid w:val="00D51590"/>
    <w:rsid w:val="00D541D3"/>
    <w:rsid w:val="00D54340"/>
    <w:rsid w:val="00D55C03"/>
    <w:rsid w:val="00D55CF4"/>
    <w:rsid w:val="00D564B9"/>
    <w:rsid w:val="00D568CC"/>
    <w:rsid w:val="00D61813"/>
    <w:rsid w:val="00D63CBD"/>
    <w:rsid w:val="00D659F1"/>
    <w:rsid w:val="00D844AE"/>
    <w:rsid w:val="00D92927"/>
    <w:rsid w:val="00D92D52"/>
    <w:rsid w:val="00D93F65"/>
    <w:rsid w:val="00D95085"/>
    <w:rsid w:val="00D95353"/>
    <w:rsid w:val="00D958C1"/>
    <w:rsid w:val="00DA01D4"/>
    <w:rsid w:val="00DA1694"/>
    <w:rsid w:val="00DA18F2"/>
    <w:rsid w:val="00DA22CF"/>
    <w:rsid w:val="00DA422C"/>
    <w:rsid w:val="00DA5170"/>
    <w:rsid w:val="00DA68E9"/>
    <w:rsid w:val="00DB0518"/>
    <w:rsid w:val="00DB1661"/>
    <w:rsid w:val="00DB365E"/>
    <w:rsid w:val="00DC13EC"/>
    <w:rsid w:val="00DC231E"/>
    <w:rsid w:val="00DC37AD"/>
    <w:rsid w:val="00DC43B1"/>
    <w:rsid w:val="00DC5C5F"/>
    <w:rsid w:val="00DC7F25"/>
    <w:rsid w:val="00DD0AD6"/>
    <w:rsid w:val="00DD26B2"/>
    <w:rsid w:val="00DD409D"/>
    <w:rsid w:val="00DE2799"/>
    <w:rsid w:val="00DE31A9"/>
    <w:rsid w:val="00DE32CE"/>
    <w:rsid w:val="00DE3E4F"/>
    <w:rsid w:val="00DF0C0C"/>
    <w:rsid w:val="00DF151D"/>
    <w:rsid w:val="00DF374C"/>
    <w:rsid w:val="00E0272A"/>
    <w:rsid w:val="00E02AC7"/>
    <w:rsid w:val="00E02B1F"/>
    <w:rsid w:val="00E02C32"/>
    <w:rsid w:val="00E057D1"/>
    <w:rsid w:val="00E0728B"/>
    <w:rsid w:val="00E1005D"/>
    <w:rsid w:val="00E10F4F"/>
    <w:rsid w:val="00E11044"/>
    <w:rsid w:val="00E14047"/>
    <w:rsid w:val="00E17063"/>
    <w:rsid w:val="00E214D3"/>
    <w:rsid w:val="00E2175F"/>
    <w:rsid w:val="00E2260A"/>
    <w:rsid w:val="00E243AE"/>
    <w:rsid w:val="00E25F96"/>
    <w:rsid w:val="00E2629D"/>
    <w:rsid w:val="00E26C00"/>
    <w:rsid w:val="00E279FA"/>
    <w:rsid w:val="00E3035B"/>
    <w:rsid w:val="00E32E76"/>
    <w:rsid w:val="00E32F61"/>
    <w:rsid w:val="00E34D40"/>
    <w:rsid w:val="00E35CE8"/>
    <w:rsid w:val="00E35D7A"/>
    <w:rsid w:val="00E417D9"/>
    <w:rsid w:val="00E4419F"/>
    <w:rsid w:val="00E44D39"/>
    <w:rsid w:val="00E45707"/>
    <w:rsid w:val="00E46C72"/>
    <w:rsid w:val="00E504ED"/>
    <w:rsid w:val="00E51725"/>
    <w:rsid w:val="00E551E2"/>
    <w:rsid w:val="00E55705"/>
    <w:rsid w:val="00E5620C"/>
    <w:rsid w:val="00E57BD7"/>
    <w:rsid w:val="00E60CC9"/>
    <w:rsid w:val="00E6103C"/>
    <w:rsid w:val="00E615BD"/>
    <w:rsid w:val="00E632CA"/>
    <w:rsid w:val="00E6339E"/>
    <w:rsid w:val="00E64DBB"/>
    <w:rsid w:val="00E657A3"/>
    <w:rsid w:val="00E66A76"/>
    <w:rsid w:val="00E71E9A"/>
    <w:rsid w:val="00E71ECE"/>
    <w:rsid w:val="00E7501C"/>
    <w:rsid w:val="00E82E26"/>
    <w:rsid w:val="00E83051"/>
    <w:rsid w:val="00E87862"/>
    <w:rsid w:val="00E9258B"/>
    <w:rsid w:val="00E94954"/>
    <w:rsid w:val="00E94C8A"/>
    <w:rsid w:val="00EA0BFC"/>
    <w:rsid w:val="00EA296D"/>
    <w:rsid w:val="00EA308E"/>
    <w:rsid w:val="00EA3756"/>
    <w:rsid w:val="00EA657E"/>
    <w:rsid w:val="00EA73FB"/>
    <w:rsid w:val="00EB1AD6"/>
    <w:rsid w:val="00EB44A0"/>
    <w:rsid w:val="00EB51A4"/>
    <w:rsid w:val="00EC2C95"/>
    <w:rsid w:val="00ED017F"/>
    <w:rsid w:val="00ED2741"/>
    <w:rsid w:val="00ED361D"/>
    <w:rsid w:val="00ED3D7C"/>
    <w:rsid w:val="00EE1A7D"/>
    <w:rsid w:val="00EE25C0"/>
    <w:rsid w:val="00EE260A"/>
    <w:rsid w:val="00EF1010"/>
    <w:rsid w:val="00EF4876"/>
    <w:rsid w:val="00EF5FE4"/>
    <w:rsid w:val="00F00038"/>
    <w:rsid w:val="00F0333E"/>
    <w:rsid w:val="00F042B2"/>
    <w:rsid w:val="00F10142"/>
    <w:rsid w:val="00F14CE0"/>
    <w:rsid w:val="00F15799"/>
    <w:rsid w:val="00F158E7"/>
    <w:rsid w:val="00F16448"/>
    <w:rsid w:val="00F27A9B"/>
    <w:rsid w:val="00F30863"/>
    <w:rsid w:val="00F41F5D"/>
    <w:rsid w:val="00F4256F"/>
    <w:rsid w:val="00F447A8"/>
    <w:rsid w:val="00F44B09"/>
    <w:rsid w:val="00F44E44"/>
    <w:rsid w:val="00F472D5"/>
    <w:rsid w:val="00F4780A"/>
    <w:rsid w:val="00F50E63"/>
    <w:rsid w:val="00F51406"/>
    <w:rsid w:val="00F526D4"/>
    <w:rsid w:val="00F567B0"/>
    <w:rsid w:val="00F606EE"/>
    <w:rsid w:val="00F6227F"/>
    <w:rsid w:val="00F631E7"/>
    <w:rsid w:val="00F635B3"/>
    <w:rsid w:val="00F6538F"/>
    <w:rsid w:val="00F66BAB"/>
    <w:rsid w:val="00F742D8"/>
    <w:rsid w:val="00F74496"/>
    <w:rsid w:val="00F76AE6"/>
    <w:rsid w:val="00F76F06"/>
    <w:rsid w:val="00F77BA8"/>
    <w:rsid w:val="00F8257D"/>
    <w:rsid w:val="00F83C9B"/>
    <w:rsid w:val="00F844A8"/>
    <w:rsid w:val="00F848D4"/>
    <w:rsid w:val="00F850EA"/>
    <w:rsid w:val="00F9503D"/>
    <w:rsid w:val="00F9703F"/>
    <w:rsid w:val="00FA07AE"/>
    <w:rsid w:val="00FA0C59"/>
    <w:rsid w:val="00FA15C9"/>
    <w:rsid w:val="00FA161B"/>
    <w:rsid w:val="00FA239B"/>
    <w:rsid w:val="00FA3FF7"/>
    <w:rsid w:val="00FA54A0"/>
    <w:rsid w:val="00FA6B88"/>
    <w:rsid w:val="00FA6D15"/>
    <w:rsid w:val="00FB1F62"/>
    <w:rsid w:val="00FB3CB9"/>
    <w:rsid w:val="00FB59FF"/>
    <w:rsid w:val="00FB630A"/>
    <w:rsid w:val="00FB6D1D"/>
    <w:rsid w:val="00FB6E89"/>
    <w:rsid w:val="00FB71B6"/>
    <w:rsid w:val="00FC06E4"/>
    <w:rsid w:val="00FC090F"/>
    <w:rsid w:val="00FC26B9"/>
    <w:rsid w:val="00FC28A7"/>
    <w:rsid w:val="00FC2F8E"/>
    <w:rsid w:val="00FC361B"/>
    <w:rsid w:val="00FC5435"/>
    <w:rsid w:val="00FC6C9D"/>
    <w:rsid w:val="00FD2CE7"/>
    <w:rsid w:val="00FD68AB"/>
    <w:rsid w:val="00FE2B77"/>
    <w:rsid w:val="00FE3D57"/>
    <w:rsid w:val="00FE521F"/>
    <w:rsid w:val="00FE5D07"/>
    <w:rsid w:val="00FE7309"/>
    <w:rsid w:val="00FF23EC"/>
    <w:rsid w:val="00FF4255"/>
    <w:rsid w:val="00FF4F4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9DBA0"/>
  <w15:chartTrackingRefBased/>
  <w15:docId w15:val="{649A792F-58BE-4766-A606-5AD1B7DFD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rsid w:val="007A13B6"/>
    <w:pPr>
      <w:keepNext/>
      <w:keepLines/>
      <w:pageBreakBefore/>
      <w:spacing w:before="240" w:after="0" w:line="480" w:lineRule="auto"/>
      <w:outlineLvl w:val="0"/>
    </w:pPr>
    <w:rPr>
      <w:rFonts w:ascii="Times New Roman" w:eastAsiaTheme="majorEastAsia" w:hAnsi="Times New Roman" w:cstheme="majorBidi"/>
      <w:b/>
      <w:sz w:val="24"/>
      <w:szCs w:val="32"/>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23582"/>
    <w:pPr>
      <w:ind w:left="720"/>
      <w:contextualSpacing/>
    </w:pPr>
  </w:style>
  <w:style w:type="paragraph" w:customStyle="1" w:styleId="Default">
    <w:name w:val="Default"/>
    <w:rsid w:val="00007044"/>
    <w:pPr>
      <w:autoSpaceDE w:val="0"/>
      <w:autoSpaceDN w:val="0"/>
      <w:adjustRightInd w:val="0"/>
      <w:spacing w:after="0" w:line="240" w:lineRule="auto"/>
    </w:pPr>
    <w:rPr>
      <w:rFonts w:ascii="Calibri" w:hAnsi="Calibri" w:cs="Calibri"/>
      <w:color w:val="000000"/>
      <w:sz w:val="24"/>
      <w:szCs w:val="24"/>
    </w:rPr>
  </w:style>
  <w:style w:type="character" w:styleId="Rimandocommento">
    <w:name w:val="annotation reference"/>
    <w:basedOn w:val="Carpredefinitoparagrafo"/>
    <w:uiPriority w:val="99"/>
    <w:semiHidden/>
    <w:unhideWhenUsed/>
    <w:rsid w:val="002A3B78"/>
    <w:rPr>
      <w:sz w:val="16"/>
      <w:szCs w:val="16"/>
    </w:rPr>
  </w:style>
  <w:style w:type="paragraph" w:styleId="Testocommento">
    <w:name w:val="annotation text"/>
    <w:basedOn w:val="Normale"/>
    <w:link w:val="TestocommentoCarattere"/>
    <w:uiPriority w:val="99"/>
    <w:unhideWhenUsed/>
    <w:rsid w:val="002A3B78"/>
    <w:pPr>
      <w:spacing w:line="240" w:lineRule="auto"/>
    </w:pPr>
    <w:rPr>
      <w:sz w:val="20"/>
      <w:szCs w:val="20"/>
    </w:rPr>
  </w:style>
  <w:style w:type="character" w:customStyle="1" w:styleId="TestocommentoCarattere">
    <w:name w:val="Testo commento Carattere"/>
    <w:basedOn w:val="Carpredefinitoparagrafo"/>
    <w:link w:val="Testocommento"/>
    <w:uiPriority w:val="99"/>
    <w:rsid w:val="002A3B78"/>
    <w:rPr>
      <w:sz w:val="20"/>
      <w:szCs w:val="20"/>
    </w:rPr>
  </w:style>
  <w:style w:type="paragraph" w:styleId="Soggettocommento">
    <w:name w:val="annotation subject"/>
    <w:basedOn w:val="Testocommento"/>
    <w:next w:val="Testocommento"/>
    <w:link w:val="SoggettocommentoCarattere"/>
    <w:uiPriority w:val="99"/>
    <w:semiHidden/>
    <w:unhideWhenUsed/>
    <w:rsid w:val="002A3B78"/>
    <w:rPr>
      <w:b/>
      <w:bCs/>
    </w:rPr>
  </w:style>
  <w:style w:type="character" w:customStyle="1" w:styleId="SoggettocommentoCarattere">
    <w:name w:val="Soggetto commento Carattere"/>
    <w:basedOn w:val="TestocommentoCarattere"/>
    <w:link w:val="Soggettocommento"/>
    <w:uiPriority w:val="99"/>
    <w:semiHidden/>
    <w:rsid w:val="002A3B78"/>
    <w:rPr>
      <w:b/>
      <w:bCs/>
      <w:sz w:val="20"/>
      <w:szCs w:val="20"/>
    </w:rPr>
  </w:style>
  <w:style w:type="paragraph" w:styleId="Testofumetto">
    <w:name w:val="Balloon Text"/>
    <w:basedOn w:val="Normale"/>
    <w:link w:val="TestofumettoCarattere"/>
    <w:uiPriority w:val="99"/>
    <w:semiHidden/>
    <w:unhideWhenUsed/>
    <w:rsid w:val="002A3B7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A3B78"/>
    <w:rPr>
      <w:rFonts w:ascii="Segoe UI" w:hAnsi="Segoe UI" w:cs="Segoe UI"/>
      <w:sz w:val="18"/>
      <w:szCs w:val="18"/>
    </w:rPr>
  </w:style>
  <w:style w:type="table" w:styleId="Grigliatabella">
    <w:name w:val="Table Grid"/>
    <w:basedOn w:val="Tabellanormale"/>
    <w:uiPriority w:val="39"/>
    <w:rsid w:val="002A3C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eformattatoHTML">
    <w:name w:val="HTML Preformatted"/>
    <w:basedOn w:val="Normale"/>
    <w:link w:val="PreformattatoHTMLCarattere"/>
    <w:uiPriority w:val="99"/>
    <w:semiHidden/>
    <w:unhideWhenUsed/>
    <w:rsid w:val="00D26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D26FEA"/>
    <w:rPr>
      <w:rFonts w:ascii="Courier New" w:eastAsia="Times New Roman" w:hAnsi="Courier New" w:cs="Courier New"/>
      <w:sz w:val="20"/>
      <w:szCs w:val="20"/>
      <w:lang w:eastAsia="it-IT"/>
    </w:rPr>
  </w:style>
  <w:style w:type="paragraph" w:styleId="Titolo">
    <w:name w:val="Title"/>
    <w:basedOn w:val="Normale"/>
    <w:next w:val="Normale"/>
    <w:link w:val="TitoloCarattere"/>
    <w:uiPriority w:val="10"/>
    <w:qFormat/>
    <w:rsid w:val="00A65BF5"/>
    <w:pPr>
      <w:spacing w:before="120" w:after="0" w:line="240" w:lineRule="auto"/>
      <w:contextualSpacing/>
      <w:jc w:val="center"/>
    </w:pPr>
    <w:rPr>
      <w:rFonts w:ascii="Times New Roman" w:eastAsiaTheme="majorEastAsia" w:hAnsi="Times New Roman" w:cstheme="majorBidi"/>
      <w:b/>
      <w:bCs/>
      <w:spacing w:val="-7"/>
      <w:sz w:val="32"/>
      <w:szCs w:val="48"/>
      <w:lang w:val="en-GB"/>
    </w:rPr>
  </w:style>
  <w:style w:type="character" w:customStyle="1" w:styleId="TitoloCarattere">
    <w:name w:val="Titolo Carattere"/>
    <w:basedOn w:val="Carpredefinitoparagrafo"/>
    <w:link w:val="Titolo"/>
    <w:uiPriority w:val="10"/>
    <w:rsid w:val="00A65BF5"/>
    <w:rPr>
      <w:rFonts w:ascii="Times New Roman" w:eastAsiaTheme="majorEastAsia" w:hAnsi="Times New Roman" w:cstheme="majorBidi"/>
      <w:b/>
      <w:bCs/>
      <w:spacing w:val="-7"/>
      <w:sz w:val="32"/>
      <w:szCs w:val="48"/>
      <w:lang w:val="en-GB"/>
    </w:rPr>
  </w:style>
  <w:style w:type="character" w:styleId="Collegamentoipertestuale">
    <w:name w:val="Hyperlink"/>
    <w:basedOn w:val="Carpredefinitoparagrafo"/>
    <w:uiPriority w:val="99"/>
    <w:unhideWhenUsed/>
    <w:rsid w:val="0046605A"/>
    <w:rPr>
      <w:color w:val="0563C1" w:themeColor="hyperlink"/>
      <w:u w:val="single"/>
    </w:rPr>
  </w:style>
  <w:style w:type="paragraph" w:customStyle="1" w:styleId="EndNoteBibliography">
    <w:name w:val="EndNote Bibliography"/>
    <w:basedOn w:val="Normale"/>
    <w:link w:val="EndNoteBibliographyChar"/>
    <w:rsid w:val="008501C2"/>
    <w:pPr>
      <w:spacing w:after="0" w:line="240" w:lineRule="auto"/>
      <w:jc w:val="center"/>
    </w:pPr>
    <w:rPr>
      <w:rFonts w:ascii="Calibri" w:hAnsi="Calibri" w:cs="Calibri"/>
      <w:noProof/>
      <w:lang w:val="en-US"/>
    </w:rPr>
  </w:style>
  <w:style w:type="character" w:customStyle="1" w:styleId="EndNoteBibliographyChar">
    <w:name w:val="EndNote Bibliography Char"/>
    <w:basedOn w:val="Carpredefinitoparagrafo"/>
    <w:link w:val="EndNoteBibliography"/>
    <w:rsid w:val="008501C2"/>
    <w:rPr>
      <w:rFonts w:ascii="Calibri" w:hAnsi="Calibri" w:cs="Calibri"/>
      <w:noProof/>
      <w:lang w:val="en-US"/>
    </w:rPr>
  </w:style>
  <w:style w:type="character" w:customStyle="1" w:styleId="mixed-citation">
    <w:name w:val="mixed-citation"/>
    <w:basedOn w:val="Carpredefinitoparagrafo"/>
    <w:rsid w:val="00FB6E89"/>
  </w:style>
  <w:style w:type="paragraph" w:styleId="NormaleWeb">
    <w:name w:val="Normal (Web)"/>
    <w:basedOn w:val="Normale"/>
    <w:uiPriority w:val="99"/>
    <w:unhideWhenUsed/>
    <w:rsid w:val="00351FD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5724A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724AB"/>
  </w:style>
  <w:style w:type="paragraph" w:styleId="Pidipagina">
    <w:name w:val="footer"/>
    <w:basedOn w:val="Normale"/>
    <w:link w:val="PidipaginaCarattere"/>
    <w:uiPriority w:val="99"/>
    <w:unhideWhenUsed/>
    <w:rsid w:val="005724A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724AB"/>
  </w:style>
  <w:style w:type="paragraph" w:styleId="Nessunaspaziatura">
    <w:name w:val="No Spacing"/>
    <w:link w:val="NessunaspaziaturaCarattere"/>
    <w:uiPriority w:val="1"/>
    <w:qFormat/>
    <w:rsid w:val="003C61C8"/>
    <w:pPr>
      <w:spacing w:before="240" w:after="240" w:line="360" w:lineRule="auto"/>
    </w:pPr>
    <w:rPr>
      <w:rFonts w:ascii="Times New Roman" w:eastAsiaTheme="minorEastAsia" w:hAnsi="Times New Roman"/>
      <w:lang w:val="en-GB"/>
    </w:rPr>
  </w:style>
  <w:style w:type="character" w:customStyle="1" w:styleId="NessunaspaziaturaCarattere">
    <w:name w:val="Nessuna spaziatura Carattere"/>
    <w:basedOn w:val="Carpredefinitoparagrafo"/>
    <w:link w:val="Nessunaspaziatura"/>
    <w:uiPriority w:val="1"/>
    <w:rsid w:val="003C61C8"/>
    <w:rPr>
      <w:rFonts w:ascii="Times New Roman" w:eastAsiaTheme="minorEastAsia" w:hAnsi="Times New Roman"/>
      <w:lang w:val="en-GB"/>
    </w:rPr>
  </w:style>
  <w:style w:type="paragraph" w:styleId="Revisione">
    <w:name w:val="Revision"/>
    <w:hidden/>
    <w:uiPriority w:val="99"/>
    <w:semiHidden/>
    <w:rsid w:val="00BD3FAC"/>
    <w:pPr>
      <w:spacing w:after="0" w:line="240" w:lineRule="auto"/>
    </w:pPr>
  </w:style>
  <w:style w:type="character" w:customStyle="1" w:styleId="Titolo1Carattere">
    <w:name w:val="Titolo 1 Carattere"/>
    <w:basedOn w:val="Carpredefinitoparagrafo"/>
    <w:link w:val="Titolo1"/>
    <w:uiPriority w:val="9"/>
    <w:rsid w:val="007A13B6"/>
    <w:rPr>
      <w:rFonts w:ascii="Times New Roman" w:eastAsiaTheme="majorEastAsia" w:hAnsi="Times New Roman" w:cstheme="majorBidi"/>
      <w:b/>
      <w:sz w:val="24"/>
      <w:szCs w:val="32"/>
      <w:lang w:val="en-GB"/>
    </w:rPr>
  </w:style>
  <w:style w:type="character" w:styleId="Enfasigrassetto">
    <w:name w:val="Strong"/>
    <w:basedOn w:val="Carpredefinitoparagrafo"/>
    <w:uiPriority w:val="22"/>
    <w:qFormat/>
    <w:rsid w:val="00672B69"/>
    <w:rPr>
      <w:b/>
      <w:bCs/>
    </w:rPr>
  </w:style>
  <w:style w:type="character" w:styleId="Enfasicorsivo">
    <w:name w:val="Emphasis"/>
    <w:basedOn w:val="Carpredefinitoparagrafo"/>
    <w:uiPriority w:val="20"/>
    <w:qFormat/>
    <w:rsid w:val="00E504ED"/>
    <w:rPr>
      <w:i/>
      <w:iCs/>
    </w:rPr>
  </w:style>
  <w:style w:type="paragraph" w:styleId="Testonormale">
    <w:name w:val="Plain Text"/>
    <w:basedOn w:val="Normale"/>
    <w:link w:val="TestonormaleCarattere"/>
    <w:uiPriority w:val="99"/>
    <w:semiHidden/>
    <w:unhideWhenUsed/>
    <w:rsid w:val="006B490C"/>
    <w:pPr>
      <w:spacing w:after="0" w:line="240" w:lineRule="auto"/>
    </w:pPr>
    <w:rPr>
      <w:rFonts w:ascii="Calibri" w:hAnsi="Calibri"/>
      <w:szCs w:val="21"/>
    </w:rPr>
  </w:style>
  <w:style w:type="character" w:customStyle="1" w:styleId="TestonormaleCarattere">
    <w:name w:val="Testo normale Carattere"/>
    <w:basedOn w:val="Carpredefinitoparagrafo"/>
    <w:link w:val="Testonormale"/>
    <w:uiPriority w:val="99"/>
    <w:semiHidden/>
    <w:rsid w:val="006B490C"/>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20398">
      <w:bodyDiv w:val="1"/>
      <w:marLeft w:val="0"/>
      <w:marRight w:val="0"/>
      <w:marTop w:val="0"/>
      <w:marBottom w:val="0"/>
      <w:divBdr>
        <w:top w:val="none" w:sz="0" w:space="0" w:color="auto"/>
        <w:left w:val="none" w:sz="0" w:space="0" w:color="auto"/>
        <w:bottom w:val="none" w:sz="0" w:space="0" w:color="auto"/>
        <w:right w:val="none" w:sz="0" w:space="0" w:color="auto"/>
      </w:divBdr>
    </w:div>
    <w:div w:id="129249105">
      <w:bodyDiv w:val="1"/>
      <w:marLeft w:val="0"/>
      <w:marRight w:val="0"/>
      <w:marTop w:val="0"/>
      <w:marBottom w:val="0"/>
      <w:divBdr>
        <w:top w:val="none" w:sz="0" w:space="0" w:color="auto"/>
        <w:left w:val="none" w:sz="0" w:space="0" w:color="auto"/>
        <w:bottom w:val="none" w:sz="0" w:space="0" w:color="auto"/>
        <w:right w:val="none" w:sz="0" w:space="0" w:color="auto"/>
      </w:divBdr>
    </w:div>
    <w:div w:id="151415579">
      <w:bodyDiv w:val="1"/>
      <w:marLeft w:val="0"/>
      <w:marRight w:val="0"/>
      <w:marTop w:val="0"/>
      <w:marBottom w:val="0"/>
      <w:divBdr>
        <w:top w:val="none" w:sz="0" w:space="0" w:color="auto"/>
        <w:left w:val="none" w:sz="0" w:space="0" w:color="auto"/>
        <w:bottom w:val="none" w:sz="0" w:space="0" w:color="auto"/>
        <w:right w:val="none" w:sz="0" w:space="0" w:color="auto"/>
      </w:divBdr>
    </w:div>
    <w:div w:id="156195724">
      <w:bodyDiv w:val="1"/>
      <w:marLeft w:val="0"/>
      <w:marRight w:val="0"/>
      <w:marTop w:val="0"/>
      <w:marBottom w:val="0"/>
      <w:divBdr>
        <w:top w:val="none" w:sz="0" w:space="0" w:color="auto"/>
        <w:left w:val="none" w:sz="0" w:space="0" w:color="auto"/>
        <w:bottom w:val="none" w:sz="0" w:space="0" w:color="auto"/>
        <w:right w:val="none" w:sz="0" w:space="0" w:color="auto"/>
      </w:divBdr>
    </w:div>
    <w:div w:id="232933629">
      <w:bodyDiv w:val="1"/>
      <w:marLeft w:val="0"/>
      <w:marRight w:val="0"/>
      <w:marTop w:val="0"/>
      <w:marBottom w:val="0"/>
      <w:divBdr>
        <w:top w:val="none" w:sz="0" w:space="0" w:color="auto"/>
        <w:left w:val="none" w:sz="0" w:space="0" w:color="auto"/>
        <w:bottom w:val="none" w:sz="0" w:space="0" w:color="auto"/>
        <w:right w:val="none" w:sz="0" w:space="0" w:color="auto"/>
      </w:divBdr>
    </w:div>
    <w:div w:id="325939082">
      <w:bodyDiv w:val="1"/>
      <w:marLeft w:val="0"/>
      <w:marRight w:val="0"/>
      <w:marTop w:val="0"/>
      <w:marBottom w:val="0"/>
      <w:divBdr>
        <w:top w:val="none" w:sz="0" w:space="0" w:color="auto"/>
        <w:left w:val="none" w:sz="0" w:space="0" w:color="auto"/>
        <w:bottom w:val="none" w:sz="0" w:space="0" w:color="auto"/>
        <w:right w:val="none" w:sz="0" w:space="0" w:color="auto"/>
      </w:divBdr>
    </w:div>
    <w:div w:id="374232338">
      <w:bodyDiv w:val="1"/>
      <w:marLeft w:val="0"/>
      <w:marRight w:val="0"/>
      <w:marTop w:val="0"/>
      <w:marBottom w:val="0"/>
      <w:divBdr>
        <w:top w:val="none" w:sz="0" w:space="0" w:color="auto"/>
        <w:left w:val="none" w:sz="0" w:space="0" w:color="auto"/>
        <w:bottom w:val="none" w:sz="0" w:space="0" w:color="auto"/>
        <w:right w:val="none" w:sz="0" w:space="0" w:color="auto"/>
      </w:divBdr>
    </w:div>
    <w:div w:id="428281698">
      <w:bodyDiv w:val="1"/>
      <w:marLeft w:val="0"/>
      <w:marRight w:val="0"/>
      <w:marTop w:val="0"/>
      <w:marBottom w:val="0"/>
      <w:divBdr>
        <w:top w:val="none" w:sz="0" w:space="0" w:color="auto"/>
        <w:left w:val="none" w:sz="0" w:space="0" w:color="auto"/>
        <w:bottom w:val="none" w:sz="0" w:space="0" w:color="auto"/>
        <w:right w:val="none" w:sz="0" w:space="0" w:color="auto"/>
      </w:divBdr>
    </w:div>
    <w:div w:id="465197079">
      <w:bodyDiv w:val="1"/>
      <w:marLeft w:val="0"/>
      <w:marRight w:val="0"/>
      <w:marTop w:val="0"/>
      <w:marBottom w:val="0"/>
      <w:divBdr>
        <w:top w:val="none" w:sz="0" w:space="0" w:color="auto"/>
        <w:left w:val="none" w:sz="0" w:space="0" w:color="auto"/>
        <w:bottom w:val="none" w:sz="0" w:space="0" w:color="auto"/>
        <w:right w:val="none" w:sz="0" w:space="0" w:color="auto"/>
      </w:divBdr>
    </w:div>
    <w:div w:id="487482376">
      <w:bodyDiv w:val="1"/>
      <w:marLeft w:val="0"/>
      <w:marRight w:val="0"/>
      <w:marTop w:val="0"/>
      <w:marBottom w:val="0"/>
      <w:divBdr>
        <w:top w:val="none" w:sz="0" w:space="0" w:color="auto"/>
        <w:left w:val="none" w:sz="0" w:space="0" w:color="auto"/>
        <w:bottom w:val="none" w:sz="0" w:space="0" w:color="auto"/>
        <w:right w:val="none" w:sz="0" w:space="0" w:color="auto"/>
      </w:divBdr>
      <w:divsChild>
        <w:div w:id="291593846">
          <w:marLeft w:val="360"/>
          <w:marRight w:val="0"/>
          <w:marTop w:val="400"/>
          <w:marBottom w:val="0"/>
          <w:divBdr>
            <w:top w:val="none" w:sz="0" w:space="0" w:color="auto"/>
            <w:left w:val="none" w:sz="0" w:space="0" w:color="auto"/>
            <w:bottom w:val="none" w:sz="0" w:space="0" w:color="auto"/>
            <w:right w:val="none" w:sz="0" w:space="0" w:color="auto"/>
          </w:divBdr>
        </w:div>
        <w:div w:id="330333664">
          <w:marLeft w:val="360"/>
          <w:marRight w:val="0"/>
          <w:marTop w:val="400"/>
          <w:marBottom w:val="0"/>
          <w:divBdr>
            <w:top w:val="none" w:sz="0" w:space="0" w:color="auto"/>
            <w:left w:val="none" w:sz="0" w:space="0" w:color="auto"/>
            <w:bottom w:val="none" w:sz="0" w:space="0" w:color="auto"/>
            <w:right w:val="none" w:sz="0" w:space="0" w:color="auto"/>
          </w:divBdr>
        </w:div>
        <w:div w:id="701513074">
          <w:marLeft w:val="360"/>
          <w:marRight w:val="0"/>
          <w:marTop w:val="400"/>
          <w:marBottom w:val="0"/>
          <w:divBdr>
            <w:top w:val="none" w:sz="0" w:space="0" w:color="auto"/>
            <w:left w:val="none" w:sz="0" w:space="0" w:color="auto"/>
            <w:bottom w:val="none" w:sz="0" w:space="0" w:color="auto"/>
            <w:right w:val="none" w:sz="0" w:space="0" w:color="auto"/>
          </w:divBdr>
        </w:div>
      </w:divsChild>
    </w:div>
    <w:div w:id="553735871">
      <w:bodyDiv w:val="1"/>
      <w:marLeft w:val="0"/>
      <w:marRight w:val="0"/>
      <w:marTop w:val="0"/>
      <w:marBottom w:val="0"/>
      <w:divBdr>
        <w:top w:val="none" w:sz="0" w:space="0" w:color="auto"/>
        <w:left w:val="none" w:sz="0" w:space="0" w:color="auto"/>
        <w:bottom w:val="none" w:sz="0" w:space="0" w:color="auto"/>
        <w:right w:val="none" w:sz="0" w:space="0" w:color="auto"/>
      </w:divBdr>
    </w:div>
    <w:div w:id="579750256">
      <w:bodyDiv w:val="1"/>
      <w:marLeft w:val="0"/>
      <w:marRight w:val="0"/>
      <w:marTop w:val="0"/>
      <w:marBottom w:val="0"/>
      <w:divBdr>
        <w:top w:val="none" w:sz="0" w:space="0" w:color="auto"/>
        <w:left w:val="none" w:sz="0" w:space="0" w:color="auto"/>
        <w:bottom w:val="none" w:sz="0" w:space="0" w:color="auto"/>
        <w:right w:val="none" w:sz="0" w:space="0" w:color="auto"/>
      </w:divBdr>
      <w:divsChild>
        <w:div w:id="124202068">
          <w:marLeft w:val="0"/>
          <w:marRight w:val="0"/>
          <w:marTop w:val="0"/>
          <w:marBottom w:val="0"/>
          <w:divBdr>
            <w:top w:val="none" w:sz="0" w:space="0" w:color="auto"/>
            <w:left w:val="none" w:sz="0" w:space="0" w:color="auto"/>
            <w:bottom w:val="none" w:sz="0" w:space="0" w:color="auto"/>
            <w:right w:val="none" w:sz="0" w:space="0" w:color="auto"/>
          </w:divBdr>
        </w:div>
      </w:divsChild>
    </w:div>
    <w:div w:id="582305092">
      <w:bodyDiv w:val="1"/>
      <w:marLeft w:val="0"/>
      <w:marRight w:val="0"/>
      <w:marTop w:val="0"/>
      <w:marBottom w:val="0"/>
      <w:divBdr>
        <w:top w:val="none" w:sz="0" w:space="0" w:color="auto"/>
        <w:left w:val="none" w:sz="0" w:space="0" w:color="auto"/>
        <w:bottom w:val="none" w:sz="0" w:space="0" w:color="auto"/>
        <w:right w:val="none" w:sz="0" w:space="0" w:color="auto"/>
      </w:divBdr>
    </w:div>
    <w:div w:id="643655507">
      <w:bodyDiv w:val="1"/>
      <w:marLeft w:val="0"/>
      <w:marRight w:val="0"/>
      <w:marTop w:val="0"/>
      <w:marBottom w:val="0"/>
      <w:divBdr>
        <w:top w:val="none" w:sz="0" w:space="0" w:color="auto"/>
        <w:left w:val="none" w:sz="0" w:space="0" w:color="auto"/>
        <w:bottom w:val="none" w:sz="0" w:space="0" w:color="auto"/>
        <w:right w:val="none" w:sz="0" w:space="0" w:color="auto"/>
      </w:divBdr>
    </w:div>
    <w:div w:id="700208945">
      <w:bodyDiv w:val="1"/>
      <w:marLeft w:val="0"/>
      <w:marRight w:val="0"/>
      <w:marTop w:val="0"/>
      <w:marBottom w:val="0"/>
      <w:divBdr>
        <w:top w:val="none" w:sz="0" w:space="0" w:color="auto"/>
        <w:left w:val="none" w:sz="0" w:space="0" w:color="auto"/>
        <w:bottom w:val="none" w:sz="0" w:space="0" w:color="auto"/>
        <w:right w:val="none" w:sz="0" w:space="0" w:color="auto"/>
      </w:divBdr>
    </w:div>
    <w:div w:id="719288838">
      <w:bodyDiv w:val="1"/>
      <w:marLeft w:val="0"/>
      <w:marRight w:val="0"/>
      <w:marTop w:val="0"/>
      <w:marBottom w:val="0"/>
      <w:divBdr>
        <w:top w:val="none" w:sz="0" w:space="0" w:color="auto"/>
        <w:left w:val="none" w:sz="0" w:space="0" w:color="auto"/>
        <w:bottom w:val="none" w:sz="0" w:space="0" w:color="auto"/>
        <w:right w:val="none" w:sz="0" w:space="0" w:color="auto"/>
      </w:divBdr>
    </w:div>
    <w:div w:id="721171705">
      <w:bodyDiv w:val="1"/>
      <w:marLeft w:val="0"/>
      <w:marRight w:val="0"/>
      <w:marTop w:val="0"/>
      <w:marBottom w:val="0"/>
      <w:divBdr>
        <w:top w:val="none" w:sz="0" w:space="0" w:color="auto"/>
        <w:left w:val="none" w:sz="0" w:space="0" w:color="auto"/>
        <w:bottom w:val="none" w:sz="0" w:space="0" w:color="auto"/>
        <w:right w:val="none" w:sz="0" w:space="0" w:color="auto"/>
      </w:divBdr>
    </w:div>
    <w:div w:id="814832641">
      <w:bodyDiv w:val="1"/>
      <w:marLeft w:val="0"/>
      <w:marRight w:val="0"/>
      <w:marTop w:val="0"/>
      <w:marBottom w:val="0"/>
      <w:divBdr>
        <w:top w:val="none" w:sz="0" w:space="0" w:color="auto"/>
        <w:left w:val="none" w:sz="0" w:space="0" w:color="auto"/>
        <w:bottom w:val="none" w:sz="0" w:space="0" w:color="auto"/>
        <w:right w:val="none" w:sz="0" w:space="0" w:color="auto"/>
      </w:divBdr>
    </w:div>
    <w:div w:id="863714356">
      <w:bodyDiv w:val="1"/>
      <w:marLeft w:val="0"/>
      <w:marRight w:val="0"/>
      <w:marTop w:val="0"/>
      <w:marBottom w:val="0"/>
      <w:divBdr>
        <w:top w:val="none" w:sz="0" w:space="0" w:color="auto"/>
        <w:left w:val="none" w:sz="0" w:space="0" w:color="auto"/>
        <w:bottom w:val="none" w:sz="0" w:space="0" w:color="auto"/>
        <w:right w:val="none" w:sz="0" w:space="0" w:color="auto"/>
      </w:divBdr>
    </w:div>
    <w:div w:id="923535173">
      <w:bodyDiv w:val="1"/>
      <w:marLeft w:val="0"/>
      <w:marRight w:val="0"/>
      <w:marTop w:val="0"/>
      <w:marBottom w:val="0"/>
      <w:divBdr>
        <w:top w:val="none" w:sz="0" w:space="0" w:color="auto"/>
        <w:left w:val="none" w:sz="0" w:space="0" w:color="auto"/>
        <w:bottom w:val="none" w:sz="0" w:space="0" w:color="auto"/>
        <w:right w:val="none" w:sz="0" w:space="0" w:color="auto"/>
      </w:divBdr>
    </w:div>
    <w:div w:id="1077552304">
      <w:bodyDiv w:val="1"/>
      <w:marLeft w:val="0"/>
      <w:marRight w:val="0"/>
      <w:marTop w:val="0"/>
      <w:marBottom w:val="0"/>
      <w:divBdr>
        <w:top w:val="none" w:sz="0" w:space="0" w:color="auto"/>
        <w:left w:val="none" w:sz="0" w:space="0" w:color="auto"/>
        <w:bottom w:val="none" w:sz="0" w:space="0" w:color="auto"/>
        <w:right w:val="none" w:sz="0" w:space="0" w:color="auto"/>
      </w:divBdr>
      <w:divsChild>
        <w:div w:id="1827549426">
          <w:marLeft w:val="0"/>
          <w:marRight w:val="0"/>
          <w:marTop w:val="0"/>
          <w:marBottom w:val="0"/>
          <w:divBdr>
            <w:top w:val="none" w:sz="0" w:space="0" w:color="auto"/>
            <w:left w:val="none" w:sz="0" w:space="0" w:color="auto"/>
            <w:bottom w:val="none" w:sz="0" w:space="0" w:color="auto"/>
            <w:right w:val="none" w:sz="0" w:space="0" w:color="auto"/>
          </w:divBdr>
        </w:div>
      </w:divsChild>
    </w:div>
    <w:div w:id="1131828778">
      <w:bodyDiv w:val="1"/>
      <w:marLeft w:val="0"/>
      <w:marRight w:val="0"/>
      <w:marTop w:val="0"/>
      <w:marBottom w:val="0"/>
      <w:divBdr>
        <w:top w:val="none" w:sz="0" w:space="0" w:color="auto"/>
        <w:left w:val="none" w:sz="0" w:space="0" w:color="auto"/>
        <w:bottom w:val="none" w:sz="0" w:space="0" w:color="auto"/>
        <w:right w:val="none" w:sz="0" w:space="0" w:color="auto"/>
      </w:divBdr>
    </w:div>
    <w:div w:id="1188593596">
      <w:bodyDiv w:val="1"/>
      <w:marLeft w:val="0"/>
      <w:marRight w:val="0"/>
      <w:marTop w:val="0"/>
      <w:marBottom w:val="0"/>
      <w:divBdr>
        <w:top w:val="none" w:sz="0" w:space="0" w:color="auto"/>
        <w:left w:val="none" w:sz="0" w:space="0" w:color="auto"/>
        <w:bottom w:val="none" w:sz="0" w:space="0" w:color="auto"/>
        <w:right w:val="none" w:sz="0" w:space="0" w:color="auto"/>
      </w:divBdr>
    </w:div>
    <w:div w:id="1265111711">
      <w:bodyDiv w:val="1"/>
      <w:marLeft w:val="0"/>
      <w:marRight w:val="0"/>
      <w:marTop w:val="0"/>
      <w:marBottom w:val="0"/>
      <w:divBdr>
        <w:top w:val="none" w:sz="0" w:space="0" w:color="auto"/>
        <w:left w:val="none" w:sz="0" w:space="0" w:color="auto"/>
        <w:bottom w:val="none" w:sz="0" w:space="0" w:color="auto"/>
        <w:right w:val="none" w:sz="0" w:space="0" w:color="auto"/>
      </w:divBdr>
    </w:div>
    <w:div w:id="1335958783">
      <w:bodyDiv w:val="1"/>
      <w:marLeft w:val="0"/>
      <w:marRight w:val="0"/>
      <w:marTop w:val="0"/>
      <w:marBottom w:val="0"/>
      <w:divBdr>
        <w:top w:val="none" w:sz="0" w:space="0" w:color="auto"/>
        <w:left w:val="none" w:sz="0" w:space="0" w:color="auto"/>
        <w:bottom w:val="none" w:sz="0" w:space="0" w:color="auto"/>
        <w:right w:val="none" w:sz="0" w:space="0" w:color="auto"/>
      </w:divBdr>
    </w:div>
    <w:div w:id="1394738763">
      <w:bodyDiv w:val="1"/>
      <w:marLeft w:val="0"/>
      <w:marRight w:val="0"/>
      <w:marTop w:val="0"/>
      <w:marBottom w:val="0"/>
      <w:divBdr>
        <w:top w:val="none" w:sz="0" w:space="0" w:color="auto"/>
        <w:left w:val="none" w:sz="0" w:space="0" w:color="auto"/>
        <w:bottom w:val="none" w:sz="0" w:space="0" w:color="auto"/>
        <w:right w:val="none" w:sz="0" w:space="0" w:color="auto"/>
      </w:divBdr>
      <w:divsChild>
        <w:div w:id="71857469">
          <w:marLeft w:val="360"/>
          <w:marRight w:val="0"/>
          <w:marTop w:val="400"/>
          <w:marBottom w:val="0"/>
          <w:divBdr>
            <w:top w:val="none" w:sz="0" w:space="0" w:color="auto"/>
            <w:left w:val="none" w:sz="0" w:space="0" w:color="auto"/>
            <w:bottom w:val="none" w:sz="0" w:space="0" w:color="auto"/>
            <w:right w:val="none" w:sz="0" w:space="0" w:color="auto"/>
          </w:divBdr>
        </w:div>
        <w:div w:id="599919778">
          <w:marLeft w:val="360"/>
          <w:marRight w:val="0"/>
          <w:marTop w:val="400"/>
          <w:marBottom w:val="0"/>
          <w:divBdr>
            <w:top w:val="none" w:sz="0" w:space="0" w:color="auto"/>
            <w:left w:val="none" w:sz="0" w:space="0" w:color="auto"/>
            <w:bottom w:val="none" w:sz="0" w:space="0" w:color="auto"/>
            <w:right w:val="none" w:sz="0" w:space="0" w:color="auto"/>
          </w:divBdr>
        </w:div>
        <w:div w:id="1255363166">
          <w:marLeft w:val="360"/>
          <w:marRight w:val="0"/>
          <w:marTop w:val="400"/>
          <w:marBottom w:val="0"/>
          <w:divBdr>
            <w:top w:val="none" w:sz="0" w:space="0" w:color="auto"/>
            <w:left w:val="none" w:sz="0" w:space="0" w:color="auto"/>
            <w:bottom w:val="none" w:sz="0" w:space="0" w:color="auto"/>
            <w:right w:val="none" w:sz="0" w:space="0" w:color="auto"/>
          </w:divBdr>
        </w:div>
        <w:div w:id="2008709563">
          <w:marLeft w:val="360"/>
          <w:marRight w:val="0"/>
          <w:marTop w:val="400"/>
          <w:marBottom w:val="0"/>
          <w:divBdr>
            <w:top w:val="none" w:sz="0" w:space="0" w:color="auto"/>
            <w:left w:val="none" w:sz="0" w:space="0" w:color="auto"/>
            <w:bottom w:val="none" w:sz="0" w:space="0" w:color="auto"/>
            <w:right w:val="none" w:sz="0" w:space="0" w:color="auto"/>
          </w:divBdr>
        </w:div>
      </w:divsChild>
    </w:div>
    <w:div w:id="1522088712">
      <w:bodyDiv w:val="1"/>
      <w:marLeft w:val="0"/>
      <w:marRight w:val="0"/>
      <w:marTop w:val="0"/>
      <w:marBottom w:val="0"/>
      <w:divBdr>
        <w:top w:val="none" w:sz="0" w:space="0" w:color="auto"/>
        <w:left w:val="none" w:sz="0" w:space="0" w:color="auto"/>
        <w:bottom w:val="none" w:sz="0" w:space="0" w:color="auto"/>
        <w:right w:val="none" w:sz="0" w:space="0" w:color="auto"/>
      </w:divBdr>
    </w:div>
    <w:div w:id="1560365268">
      <w:bodyDiv w:val="1"/>
      <w:marLeft w:val="0"/>
      <w:marRight w:val="0"/>
      <w:marTop w:val="0"/>
      <w:marBottom w:val="0"/>
      <w:divBdr>
        <w:top w:val="none" w:sz="0" w:space="0" w:color="auto"/>
        <w:left w:val="none" w:sz="0" w:space="0" w:color="auto"/>
        <w:bottom w:val="none" w:sz="0" w:space="0" w:color="auto"/>
        <w:right w:val="none" w:sz="0" w:space="0" w:color="auto"/>
      </w:divBdr>
    </w:div>
    <w:div w:id="1610626347">
      <w:bodyDiv w:val="1"/>
      <w:marLeft w:val="0"/>
      <w:marRight w:val="0"/>
      <w:marTop w:val="0"/>
      <w:marBottom w:val="0"/>
      <w:divBdr>
        <w:top w:val="none" w:sz="0" w:space="0" w:color="auto"/>
        <w:left w:val="none" w:sz="0" w:space="0" w:color="auto"/>
        <w:bottom w:val="none" w:sz="0" w:space="0" w:color="auto"/>
        <w:right w:val="none" w:sz="0" w:space="0" w:color="auto"/>
      </w:divBdr>
    </w:div>
    <w:div w:id="1657568806">
      <w:bodyDiv w:val="1"/>
      <w:marLeft w:val="0"/>
      <w:marRight w:val="0"/>
      <w:marTop w:val="0"/>
      <w:marBottom w:val="0"/>
      <w:divBdr>
        <w:top w:val="none" w:sz="0" w:space="0" w:color="auto"/>
        <w:left w:val="none" w:sz="0" w:space="0" w:color="auto"/>
        <w:bottom w:val="none" w:sz="0" w:space="0" w:color="auto"/>
        <w:right w:val="none" w:sz="0" w:space="0" w:color="auto"/>
      </w:divBdr>
    </w:div>
    <w:div w:id="1663460195">
      <w:bodyDiv w:val="1"/>
      <w:marLeft w:val="0"/>
      <w:marRight w:val="0"/>
      <w:marTop w:val="0"/>
      <w:marBottom w:val="0"/>
      <w:divBdr>
        <w:top w:val="none" w:sz="0" w:space="0" w:color="auto"/>
        <w:left w:val="none" w:sz="0" w:space="0" w:color="auto"/>
        <w:bottom w:val="none" w:sz="0" w:space="0" w:color="auto"/>
        <w:right w:val="none" w:sz="0" w:space="0" w:color="auto"/>
      </w:divBdr>
    </w:div>
    <w:div w:id="1740785409">
      <w:bodyDiv w:val="1"/>
      <w:marLeft w:val="0"/>
      <w:marRight w:val="0"/>
      <w:marTop w:val="0"/>
      <w:marBottom w:val="0"/>
      <w:divBdr>
        <w:top w:val="none" w:sz="0" w:space="0" w:color="auto"/>
        <w:left w:val="none" w:sz="0" w:space="0" w:color="auto"/>
        <w:bottom w:val="none" w:sz="0" w:space="0" w:color="auto"/>
        <w:right w:val="none" w:sz="0" w:space="0" w:color="auto"/>
      </w:divBdr>
    </w:div>
    <w:div w:id="1769307072">
      <w:bodyDiv w:val="1"/>
      <w:marLeft w:val="0"/>
      <w:marRight w:val="0"/>
      <w:marTop w:val="0"/>
      <w:marBottom w:val="0"/>
      <w:divBdr>
        <w:top w:val="none" w:sz="0" w:space="0" w:color="auto"/>
        <w:left w:val="none" w:sz="0" w:space="0" w:color="auto"/>
        <w:bottom w:val="none" w:sz="0" w:space="0" w:color="auto"/>
        <w:right w:val="none" w:sz="0" w:space="0" w:color="auto"/>
      </w:divBdr>
    </w:div>
    <w:div w:id="1776168514">
      <w:bodyDiv w:val="1"/>
      <w:marLeft w:val="0"/>
      <w:marRight w:val="0"/>
      <w:marTop w:val="0"/>
      <w:marBottom w:val="0"/>
      <w:divBdr>
        <w:top w:val="none" w:sz="0" w:space="0" w:color="auto"/>
        <w:left w:val="none" w:sz="0" w:space="0" w:color="auto"/>
        <w:bottom w:val="none" w:sz="0" w:space="0" w:color="auto"/>
        <w:right w:val="none" w:sz="0" w:space="0" w:color="auto"/>
      </w:divBdr>
    </w:div>
    <w:div w:id="1801343871">
      <w:bodyDiv w:val="1"/>
      <w:marLeft w:val="0"/>
      <w:marRight w:val="0"/>
      <w:marTop w:val="0"/>
      <w:marBottom w:val="0"/>
      <w:divBdr>
        <w:top w:val="none" w:sz="0" w:space="0" w:color="auto"/>
        <w:left w:val="none" w:sz="0" w:space="0" w:color="auto"/>
        <w:bottom w:val="none" w:sz="0" w:space="0" w:color="auto"/>
        <w:right w:val="none" w:sz="0" w:space="0" w:color="auto"/>
      </w:divBdr>
    </w:div>
    <w:div w:id="1845824713">
      <w:bodyDiv w:val="1"/>
      <w:marLeft w:val="0"/>
      <w:marRight w:val="0"/>
      <w:marTop w:val="0"/>
      <w:marBottom w:val="0"/>
      <w:divBdr>
        <w:top w:val="none" w:sz="0" w:space="0" w:color="auto"/>
        <w:left w:val="none" w:sz="0" w:space="0" w:color="auto"/>
        <w:bottom w:val="none" w:sz="0" w:space="0" w:color="auto"/>
        <w:right w:val="none" w:sz="0" w:space="0" w:color="auto"/>
      </w:divBdr>
    </w:div>
    <w:div w:id="1881017900">
      <w:bodyDiv w:val="1"/>
      <w:marLeft w:val="0"/>
      <w:marRight w:val="0"/>
      <w:marTop w:val="0"/>
      <w:marBottom w:val="0"/>
      <w:divBdr>
        <w:top w:val="none" w:sz="0" w:space="0" w:color="auto"/>
        <w:left w:val="none" w:sz="0" w:space="0" w:color="auto"/>
        <w:bottom w:val="none" w:sz="0" w:space="0" w:color="auto"/>
        <w:right w:val="none" w:sz="0" w:space="0" w:color="auto"/>
      </w:divBdr>
    </w:div>
    <w:div w:id="1912037312">
      <w:bodyDiv w:val="1"/>
      <w:marLeft w:val="0"/>
      <w:marRight w:val="0"/>
      <w:marTop w:val="0"/>
      <w:marBottom w:val="0"/>
      <w:divBdr>
        <w:top w:val="none" w:sz="0" w:space="0" w:color="auto"/>
        <w:left w:val="none" w:sz="0" w:space="0" w:color="auto"/>
        <w:bottom w:val="none" w:sz="0" w:space="0" w:color="auto"/>
        <w:right w:val="none" w:sz="0" w:space="0" w:color="auto"/>
      </w:divBdr>
    </w:div>
    <w:div w:id="1917744552">
      <w:bodyDiv w:val="1"/>
      <w:marLeft w:val="0"/>
      <w:marRight w:val="0"/>
      <w:marTop w:val="0"/>
      <w:marBottom w:val="0"/>
      <w:divBdr>
        <w:top w:val="none" w:sz="0" w:space="0" w:color="auto"/>
        <w:left w:val="none" w:sz="0" w:space="0" w:color="auto"/>
        <w:bottom w:val="none" w:sz="0" w:space="0" w:color="auto"/>
        <w:right w:val="none" w:sz="0" w:space="0" w:color="auto"/>
      </w:divBdr>
    </w:div>
    <w:div w:id="1958876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371/journal" TargetMode="Externa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A57E08-1131-498D-A09E-F78E57712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1187</TotalTime>
  <Pages>1</Pages>
  <Words>8182</Words>
  <Characters>46642</Characters>
  <Application>Microsoft Office Word</Application>
  <DocSecurity>0</DocSecurity>
  <Lines>388</Lines>
  <Paragraphs>109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dc:creator>
  <cp:keywords/>
  <dc:description/>
  <cp:lastModifiedBy>Michele</cp:lastModifiedBy>
  <cp:revision>25</cp:revision>
  <cp:lastPrinted>2022-03-21T16:14:00Z</cp:lastPrinted>
  <dcterms:created xsi:type="dcterms:W3CDTF">2022-03-10T10:54:00Z</dcterms:created>
  <dcterms:modified xsi:type="dcterms:W3CDTF">2022-03-22T18:41:00Z</dcterms:modified>
</cp:coreProperties>
</file>